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EEE00D">
      <w:pPr>
        <w:pStyle w:val="3"/>
        <w:jc w:val="center"/>
      </w:pPr>
      <w:r>
        <w:rPr>
          <w:rFonts w:hint="eastAsia" w:ascii="方正小标宋简体" w:hAnsi="方正小标宋简体" w:eastAsia="方正小标宋简体" w:cs="方正小标宋简体"/>
          <w:b w:val="0"/>
          <w:bCs w:val="0"/>
          <w:kern w:val="0"/>
          <w:sz w:val="48"/>
          <w:szCs w:val="48"/>
          <w:lang w:val="en-US" w:eastAsia="zh-CN" w:bidi="ar"/>
        </w:rPr>
        <w:t>低空物流应用技术微专业招生简章</w:t>
      </w:r>
    </w:p>
    <w:p w14:paraId="716D3501">
      <w:pPr>
        <w:pStyle w:val="4"/>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textAlignment w:val="auto"/>
      </w:pPr>
      <w:r>
        <w:t>一、微专业简介</w:t>
      </w:r>
    </w:p>
    <w:p w14:paraId="6ADCE2EF">
      <w:pPr>
        <w:pStyle w:val="18"/>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textAlignment w:val="auto"/>
        <w:rPr>
          <w:rFonts w:hint="default" w:ascii="Times New Roman" w:hAnsi="Times New Roman" w:eastAsia="仿宋_GB2312" w:cs="Times New Roman"/>
          <w:i w:val="0"/>
          <w:iCs w:val="0"/>
          <w:caps w:val="0"/>
          <w:color w:val="333333"/>
          <w:spacing w:val="0"/>
          <w:kern w:val="0"/>
          <w:sz w:val="32"/>
          <w:szCs w:val="32"/>
          <w:shd w:val="clear" w:fill="FFFFFF"/>
          <w:lang w:val="en-US" w:eastAsia="zh-CN" w:bidi="ar"/>
        </w:rPr>
      </w:pPr>
      <w:r>
        <w:rPr>
          <w:rFonts w:hint="default" w:ascii="Times New Roman" w:hAnsi="Times New Roman" w:eastAsia="仿宋_GB2312" w:cs="Times New Roman"/>
          <w:i w:val="0"/>
          <w:iCs w:val="0"/>
          <w:caps w:val="0"/>
          <w:color w:val="333333"/>
          <w:spacing w:val="0"/>
          <w:kern w:val="0"/>
          <w:sz w:val="32"/>
          <w:szCs w:val="32"/>
          <w:shd w:val="clear" w:fill="FFFFFF"/>
          <w:lang w:val="en-US" w:eastAsia="zh-CN" w:bidi="ar"/>
        </w:rPr>
        <w:t>低空物流应用技术微专业</w:t>
      </w:r>
      <w:r>
        <w:rPr>
          <w:rFonts w:hint="eastAsia" w:ascii="仿宋_GB2312" w:hAnsi="宋体" w:eastAsia="仿宋_GB2312" w:cs="仿宋_GB2312"/>
          <w:b w:val="0"/>
          <w:bCs w:val="0"/>
          <w:color w:val="000000"/>
          <w:kern w:val="0"/>
          <w:sz w:val="32"/>
          <w:szCs w:val="32"/>
          <w:lang w:val="en-US" w:eastAsia="zh-CN" w:bidi="ar"/>
        </w:rPr>
        <w:t>本专业面向低空经济战略性新兴产业，致力于培养具备低空物流领域核心技术与综合能力的复合型技术技能人才。学生需掌握无人机操控、维护、智能导航及低空物流系统设计等关键技术，熟悉物流管理流程、空中交通规则及低空飞行安全管理；能够胜任无人机物流配送任务规划、应急响应、数据分析和多场景运维工作，并可适应技术迭代，参与无人机物流应用场景的研发与优化。毕业生可服务于物流企业、无人机运营商及智慧城市管理等领域，从事物流无人机操控、航线调度、设备维护、项目管理等岗位，助力物流行业向高效化、智能化、低碳化转型，同时可考取 CAAC 无人机操控执照。</w:t>
      </w:r>
    </w:p>
    <w:p w14:paraId="6F7582A4">
      <w:pPr>
        <w:pStyle w:val="4"/>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textAlignment w:val="auto"/>
      </w:pPr>
      <w:r>
        <w:t>二、专业设置及招生计划</w:t>
      </w:r>
    </w:p>
    <w:p w14:paraId="51BDD972">
      <w:pPr>
        <w:pStyle w:val="5"/>
        <w:keepNext w:val="0"/>
        <w:keepLines w:val="0"/>
        <w:pageBreakBefore w:val="0"/>
        <w:widowControl/>
        <w:kinsoku/>
        <w:wordWrap/>
        <w:overflowPunct/>
        <w:topLinePunct w:val="0"/>
        <w:autoSpaceDE/>
        <w:autoSpaceDN/>
        <w:bidi w:val="0"/>
        <w:adjustRightInd/>
        <w:snapToGrid/>
        <w:spacing w:before="0" w:after="0" w:line="560" w:lineRule="exact"/>
        <w:ind w:left="0" w:leftChars="0" w:firstLine="640" w:firstLineChars="200"/>
        <w:textAlignment w:val="auto"/>
        <w:rPr>
          <w:rFonts w:hint="default" w:ascii="Times New Roman" w:hAnsi="Times New Roman" w:eastAsia="仿宋_GB2312" w:cs="Times New Roman"/>
          <w:b w:val="0"/>
          <w:bCs w:val="0"/>
          <w:i w:val="0"/>
          <w:iCs w:val="0"/>
          <w:caps w:val="0"/>
          <w:color w:val="333333"/>
          <w:spacing w:val="0"/>
          <w:kern w:val="0"/>
          <w:sz w:val="32"/>
          <w:szCs w:val="32"/>
          <w:shd w:val="clear" w:fill="FFFFFF"/>
          <w:lang w:val="en-US" w:eastAsia="zh-CN" w:bidi="ar"/>
        </w:rPr>
      </w:pPr>
      <w:r>
        <w:rPr>
          <w:rFonts w:hint="eastAsia" w:ascii="Times New Roman" w:hAnsi="Times New Roman" w:eastAsia="仿宋_GB2312" w:cs="Times New Roman"/>
          <w:b w:val="0"/>
          <w:bCs w:val="0"/>
          <w:i w:val="0"/>
          <w:iCs w:val="0"/>
          <w:caps w:val="0"/>
          <w:color w:val="333333"/>
          <w:spacing w:val="0"/>
          <w:kern w:val="0"/>
          <w:sz w:val="32"/>
          <w:szCs w:val="32"/>
          <w:shd w:val="clear" w:fill="FFFFFF"/>
          <w:lang w:val="en-US" w:eastAsia="zh-CN" w:bidi="ar"/>
        </w:rPr>
        <w:t>（一）专业设置</w:t>
      </w:r>
    </w:p>
    <w:p w14:paraId="1787B9FB">
      <w:pPr>
        <w:pStyle w:val="18"/>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textAlignment w:val="auto"/>
        <w:rPr>
          <w:rFonts w:hint="default" w:ascii="Times New Roman" w:hAnsi="Times New Roman" w:eastAsia="仿宋_GB2312" w:cs="Times New Roman"/>
          <w:i w:val="0"/>
          <w:iCs w:val="0"/>
          <w:caps w:val="0"/>
          <w:color w:val="333333"/>
          <w:spacing w:val="0"/>
          <w:kern w:val="0"/>
          <w:sz w:val="32"/>
          <w:szCs w:val="32"/>
          <w:shd w:val="clear" w:fill="FFFFFF"/>
          <w:lang w:val="en-US" w:eastAsia="zh-CN" w:bidi="ar"/>
        </w:rPr>
      </w:pPr>
      <w:r>
        <w:rPr>
          <w:rFonts w:hint="eastAsia" w:ascii="Times New Roman" w:hAnsi="Times New Roman" w:eastAsia="仿宋_GB2312" w:cs="Times New Roman"/>
          <w:i w:val="0"/>
          <w:iCs w:val="0"/>
          <w:caps w:val="0"/>
          <w:color w:val="333333"/>
          <w:spacing w:val="0"/>
          <w:kern w:val="0"/>
          <w:sz w:val="32"/>
          <w:szCs w:val="32"/>
          <w:shd w:val="clear" w:fill="FFFFFF"/>
          <w:lang w:val="en-US" w:eastAsia="zh-CN" w:bidi="ar"/>
        </w:rPr>
        <w:t>该专业</w:t>
      </w:r>
      <w:r>
        <w:rPr>
          <w:rFonts w:hint="default" w:ascii="Times New Roman" w:hAnsi="Times New Roman" w:eastAsia="仿宋_GB2312" w:cs="Times New Roman"/>
          <w:i w:val="0"/>
          <w:iCs w:val="0"/>
          <w:caps w:val="0"/>
          <w:color w:val="333333"/>
          <w:spacing w:val="0"/>
          <w:kern w:val="0"/>
          <w:sz w:val="32"/>
          <w:szCs w:val="32"/>
          <w:shd w:val="clear" w:fill="FFFFFF"/>
          <w:lang w:val="en-US" w:eastAsia="zh-CN" w:bidi="ar"/>
        </w:rPr>
        <w:t>课程涵盖《无人机飞行原理与技术》《低空经济政策与法规》《无人机物流调度规划》《低空物流项目管理》《无人机装调检修实训》《低空配送实训》6 门核心课程</w:t>
      </w:r>
      <w:r>
        <w:rPr>
          <w:rFonts w:hint="eastAsia" w:ascii="Times New Roman" w:hAnsi="Times New Roman" w:eastAsia="仿宋_GB2312" w:cs="Times New Roman"/>
          <w:i w:val="0"/>
          <w:iCs w:val="0"/>
          <w:caps w:val="0"/>
          <w:color w:val="333333"/>
          <w:spacing w:val="0"/>
          <w:kern w:val="0"/>
          <w:sz w:val="32"/>
          <w:szCs w:val="32"/>
          <w:shd w:val="clear" w:fill="FFFFFF"/>
          <w:lang w:val="en-US" w:eastAsia="zh-CN" w:bidi="ar"/>
        </w:rPr>
        <w:t>，共18学分</w:t>
      </w:r>
      <w:r>
        <w:rPr>
          <w:rFonts w:hint="default" w:ascii="Times New Roman" w:hAnsi="Times New Roman" w:eastAsia="仿宋_GB2312" w:cs="Times New Roman"/>
          <w:i w:val="0"/>
          <w:iCs w:val="0"/>
          <w:caps w:val="0"/>
          <w:color w:val="333333"/>
          <w:spacing w:val="0"/>
          <w:kern w:val="0"/>
          <w:sz w:val="32"/>
          <w:szCs w:val="32"/>
          <w:shd w:val="clear" w:fill="FFFFFF"/>
          <w:lang w:val="en-US" w:eastAsia="zh-CN" w:bidi="ar"/>
        </w:rPr>
        <w:t>，具体</w:t>
      </w:r>
      <w:r>
        <w:rPr>
          <w:rFonts w:hint="eastAsia" w:ascii="Times New Roman" w:hAnsi="Times New Roman" w:eastAsia="仿宋_GB2312" w:cs="Times New Roman"/>
          <w:i w:val="0"/>
          <w:iCs w:val="0"/>
          <w:caps w:val="0"/>
          <w:color w:val="333333"/>
          <w:spacing w:val="0"/>
          <w:kern w:val="0"/>
          <w:sz w:val="32"/>
          <w:szCs w:val="32"/>
          <w:shd w:val="clear" w:fill="FFFFFF"/>
          <w:lang w:val="en-US" w:eastAsia="zh-CN" w:bidi="ar"/>
        </w:rPr>
        <w:t>课程</w:t>
      </w:r>
      <w:r>
        <w:rPr>
          <w:rFonts w:hint="default" w:ascii="Times New Roman" w:hAnsi="Times New Roman" w:eastAsia="仿宋_GB2312" w:cs="Times New Roman"/>
          <w:i w:val="0"/>
          <w:iCs w:val="0"/>
          <w:caps w:val="0"/>
          <w:color w:val="333333"/>
          <w:spacing w:val="0"/>
          <w:kern w:val="0"/>
          <w:sz w:val="32"/>
          <w:szCs w:val="32"/>
          <w:shd w:val="clear" w:fill="FFFFFF"/>
          <w:lang w:val="en-US" w:eastAsia="zh-CN" w:bidi="ar"/>
        </w:rPr>
        <w:t>信息如下表：</w:t>
      </w:r>
    </w:p>
    <w:tbl>
      <w:tblPr>
        <w:tblStyle w:val="11"/>
        <w:tblW w:w="0" w:type="auto"/>
        <w:tblInd w:w="0" w:type="dxa"/>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Layout w:type="autofit"/>
        <w:tblCellMar>
          <w:top w:w="0" w:type="dxa"/>
          <w:left w:w="10" w:type="dxa"/>
          <w:bottom w:w="0" w:type="dxa"/>
          <w:right w:w="10" w:type="dxa"/>
        </w:tblCellMar>
      </w:tblPr>
      <w:tblGrid>
        <w:gridCol w:w="1358"/>
        <w:gridCol w:w="971"/>
        <w:gridCol w:w="692"/>
        <w:gridCol w:w="1642"/>
        <w:gridCol w:w="1791"/>
        <w:gridCol w:w="1209"/>
        <w:gridCol w:w="1603"/>
      </w:tblGrid>
      <w:tr w14:paraId="216AB4AF">
        <w:tblPrEx>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CellMar>
            <w:top w:w="0" w:type="dxa"/>
            <w:left w:w="10" w:type="dxa"/>
            <w:bottom w:w="0" w:type="dxa"/>
            <w:right w:w="10" w:type="dxa"/>
          </w:tblCellMar>
        </w:tblPrEx>
        <w:tc>
          <w:tcPr>
            <w:tcW w:w="1358" w:type="dxa"/>
            <w:tcBorders>
              <w:tl2br w:val="nil"/>
              <w:tr2bl w:val="nil"/>
            </w:tcBorders>
            <w:tcMar>
              <w:top w:w="60" w:type="dxa"/>
              <w:left w:w="120" w:type="dxa"/>
              <w:bottom w:w="30" w:type="dxa"/>
              <w:right w:w="120" w:type="dxa"/>
            </w:tcMar>
          </w:tcPr>
          <w:p w14:paraId="499A45DE">
            <w:pPr>
              <w:pStyle w:val="18"/>
              <w:jc w:val="center"/>
              <w:rPr>
                <w:sz w:val="21"/>
                <w:szCs w:val="21"/>
              </w:rPr>
            </w:pPr>
            <w:r>
              <w:rPr>
                <w:sz w:val="21"/>
                <w:szCs w:val="21"/>
              </w:rPr>
              <w:t>课程名称</w:t>
            </w:r>
          </w:p>
        </w:tc>
        <w:tc>
          <w:tcPr>
            <w:tcW w:w="971" w:type="dxa"/>
            <w:tcBorders>
              <w:tl2br w:val="nil"/>
              <w:tr2bl w:val="nil"/>
            </w:tcBorders>
            <w:tcMar>
              <w:top w:w="60" w:type="dxa"/>
              <w:left w:w="120" w:type="dxa"/>
              <w:bottom w:w="30" w:type="dxa"/>
              <w:right w:w="120" w:type="dxa"/>
            </w:tcMar>
          </w:tcPr>
          <w:p w14:paraId="74E65CDE">
            <w:pPr>
              <w:pStyle w:val="18"/>
              <w:jc w:val="center"/>
              <w:rPr>
                <w:sz w:val="21"/>
                <w:szCs w:val="21"/>
              </w:rPr>
            </w:pPr>
            <w:r>
              <w:rPr>
                <w:sz w:val="21"/>
                <w:szCs w:val="21"/>
              </w:rPr>
              <w:t>总学时</w:t>
            </w:r>
          </w:p>
        </w:tc>
        <w:tc>
          <w:tcPr>
            <w:tcW w:w="692" w:type="dxa"/>
            <w:tcBorders>
              <w:tl2br w:val="nil"/>
              <w:tr2bl w:val="nil"/>
            </w:tcBorders>
            <w:tcMar>
              <w:top w:w="60" w:type="dxa"/>
              <w:left w:w="120" w:type="dxa"/>
              <w:bottom w:w="30" w:type="dxa"/>
              <w:right w:w="120" w:type="dxa"/>
            </w:tcMar>
          </w:tcPr>
          <w:p w14:paraId="0640722C">
            <w:pPr>
              <w:pStyle w:val="18"/>
              <w:jc w:val="center"/>
              <w:rPr>
                <w:sz w:val="21"/>
                <w:szCs w:val="21"/>
              </w:rPr>
            </w:pPr>
            <w:r>
              <w:rPr>
                <w:sz w:val="21"/>
                <w:szCs w:val="21"/>
              </w:rPr>
              <w:t>学分</w:t>
            </w:r>
          </w:p>
        </w:tc>
        <w:tc>
          <w:tcPr>
            <w:tcW w:w="1642" w:type="dxa"/>
            <w:tcBorders>
              <w:tl2br w:val="nil"/>
              <w:tr2bl w:val="nil"/>
            </w:tcBorders>
            <w:tcMar>
              <w:top w:w="60" w:type="dxa"/>
              <w:left w:w="120" w:type="dxa"/>
              <w:bottom w:w="30" w:type="dxa"/>
              <w:right w:w="120" w:type="dxa"/>
            </w:tcMar>
          </w:tcPr>
          <w:p w14:paraId="3F14B323">
            <w:pPr>
              <w:pStyle w:val="18"/>
              <w:jc w:val="center"/>
              <w:rPr>
                <w:sz w:val="21"/>
                <w:szCs w:val="21"/>
              </w:rPr>
            </w:pPr>
            <w:r>
              <w:rPr>
                <w:sz w:val="21"/>
                <w:szCs w:val="21"/>
              </w:rPr>
              <w:t>授课方式</w:t>
            </w:r>
          </w:p>
        </w:tc>
        <w:tc>
          <w:tcPr>
            <w:tcW w:w="1791" w:type="dxa"/>
            <w:tcBorders>
              <w:tl2br w:val="nil"/>
              <w:tr2bl w:val="nil"/>
            </w:tcBorders>
            <w:tcMar>
              <w:top w:w="60" w:type="dxa"/>
              <w:left w:w="120" w:type="dxa"/>
              <w:bottom w:w="30" w:type="dxa"/>
              <w:right w:w="120" w:type="dxa"/>
            </w:tcMar>
          </w:tcPr>
          <w:p w14:paraId="65465DE6">
            <w:pPr>
              <w:pStyle w:val="18"/>
              <w:jc w:val="center"/>
              <w:rPr>
                <w:sz w:val="21"/>
                <w:szCs w:val="21"/>
              </w:rPr>
            </w:pPr>
            <w:r>
              <w:rPr>
                <w:sz w:val="21"/>
                <w:szCs w:val="21"/>
              </w:rPr>
              <w:t>考核方式</w:t>
            </w:r>
          </w:p>
        </w:tc>
        <w:tc>
          <w:tcPr>
            <w:tcW w:w="1209" w:type="dxa"/>
            <w:tcBorders>
              <w:tl2br w:val="nil"/>
              <w:tr2bl w:val="nil"/>
            </w:tcBorders>
            <w:tcMar>
              <w:top w:w="60" w:type="dxa"/>
              <w:left w:w="120" w:type="dxa"/>
              <w:bottom w:w="30" w:type="dxa"/>
              <w:right w:w="120" w:type="dxa"/>
            </w:tcMar>
          </w:tcPr>
          <w:p w14:paraId="08B892C2">
            <w:pPr>
              <w:pStyle w:val="18"/>
              <w:jc w:val="center"/>
              <w:rPr>
                <w:sz w:val="21"/>
                <w:szCs w:val="21"/>
              </w:rPr>
            </w:pPr>
            <w:r>
              <w:rPr>
                <w:sz w:val="21"/>
                <w:szCs w:val="21"/>
              </w:rPr>
              <w:t>开课时间</w:t>
            </w:r>
          </w:p>
        </w:tc>
        <w:tc>
          <w:tcPr>
            <w:tcW w:w="1603" w:type="dxa"/>
            <w:tcBorders>
              <w:tl2br w:val="nil"/>
              <w:tr2bl w:val="nil"/>
            </w:tcBorders>
            <w:tcMar>
              <w:top w:w="60" w:type="dxa"/>
              <w:left w:w="120" w:type="dxa"/>
              <w:bottom w:w="30" w:type="dxa"/>
              <w:right w:w="120" w:type="dxa"/>
            </w:tcMar>
          </w:tcPr>
          <w:p w14:paraId="3D55D194">
            <w:pPr>
              <w:pStyle w:val="18"/>
              <w:jc w:val="center"/>
              <w:rPr>
                <w:sz w:val="21"/>
                <w:szCs w:val="21"/>
              </w:rPr>
            </w:pPr>
            <w:r>
              <w:rPr>
                <w:sz w:val="21"/>
                <w:szCs w:val="21"/>
              </w:rPr>
              <w:t>教学内容</w:t>
            </w:r>
          </w:p>
        </w:tc>
      </w:tr>
      <w:tr w14:paraId="465E1B16">
        <w:tblPrEx>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CellMar>
            <w:top w:w="0" w:type="dxa"/>
            <w:left w:w="10" w:type="dxa"/>
            <w:bottom w:w="0" w:type="dxa"/>
            <w:right w:w="10" w:type="dxa"/>
          </w:tblCellMar>
        </w:tblPrEx>
        <w:trPr>
          <w:trHeight w:val="1931" w:hRule="atLeast"/>
        </w:trPr>
        <w:tc>
          <w:tcPr>
            <w:tcW w:w="1358" w:type="dxa"/>
            <w:tcBorders>
              <w:tl2br w:val="nil"/>
              <w:tr2bl w:val="nil"/>
            </w:tcBorders>
            <w:tcMar>
              <w:top w:w="60" w:type="dxa"/>
              <w:left w:w="120" w:type="dxa"/>
              <w:bottom w:w="30" w:type="dxa"/>
              <w:right w:w="120" w:type="dxa"/>
            </w:tcMar>
          </w:tcPr>
          <w:p w14:paraId="2E7B3B52">
            <w:pPr>
              <w:pStyle w:val="18"/>
              <w:rPr>
                <w:sz w:val="21"/>
                <w:szCs w:val="21"/>
              </w:rPr>
            </w:pPr>
            <w:r>
              <w:rPr>
                <w:sz w:val="21"/>
                <w:szCs w:val="21"/>
              </w:rPr>
              <w:t>《无人机飞行原理与技术》</w:t>
            </w:r>
          </w:p>
        </w:tc>
        <w:tc>
          <w:tcPr>
            <w:tcW w:w="971" w:type="dxa"/>
            <w:tcBorders>
              <w:tl2br w:val="nil"/>
              <w:tr2bl w:val="nil"/>
            </w:tcBorders>
            <w:tcMar>
              <w:top w:w="60" w:type="dxa"/>
              <w:left w:w="120" w:type="dxa"/>
              <w:bottom w:w="30" w:type="dxa"/>
              <w:right w:w="120" w:type="dxa"/>
            </w:tcMar>
          </w:tcPr>
          <w:p w14:paraId="5D079BC8">
            <w:pPr>
              <w:pStyle w:val="18"/>
              <w:jc w:val="center"/>
              <w:rPr>
                <w:sz w:val="21"/>
                <w:szCs w:val="21"/>
              </w:rPr>
            </w:pPr>
            <w:r>
              <w:rPr>
                <w:sz w:val="21"/>
                <w:szCs w:val="21"/>
              </w:rPr>
              <w:t>64</w:t>
            </w:r>
          </w:p>
        </w:tc>
        <w:tc>
          <w:tcPr>
            <w:tcW w:w="692" w:type="dxa"/>
            <w:tcBorders>
              <w:tl2br w:val="nil"/>
              <w:tr2bl w:val="nil"/>
            </w:tcBorders>
            <w:tcMar>
              <w:top w:w="60" w:type="dxa"/>
              <w:left w:w="120" w:type="dxa"/>
              <w:bottom w:w="30" w:type="dxa"/>
              <w:right w:w="120" w:type="dxa"/>
            </w:tcMar>
          </w:tcPr>
          <w:p w14:paraId="706FF93D">
            <w:pPr>
              <w:pStyle w:val="18"/>
              <w:jc w:val="center"/>
              <w:rPr>
                <w:sz w:val="21"/>
                <w:szCs w:val="21"/>
              </w:rPr>
            </w:pPr>
            <w:r>
              <w:rPr>
                <w:sz w:val="21"/>
                <w:szCs w:val="21"/>
              </w:rPr>
              <w:t>3</w:t>
            </w:r>
          </w:p>
        </w:tc>
        <w:tc>
          <w:tcPr>
            <w:tcW w:w="1642" w:type="dxa"/>
            <w:tcBorders>
              <w:tl2br w:val="nil"/>
              <w:tr2bl w:val="nil"/>
            </w:tcBorders>
            <w:tcMar>
              <w:top w:w="60" w:type="dxa"/>
              <w:left w:w="120" w:type="dxa"/>
              <w:bottom w:w="30" w:type="dxa"/>
              <w:right w:w="120" w:type="dxa"/>
            </w:tcMar>
          </w:tcPr>
          <w:p w14:paraId="486A6184">
            <w:pPr>
              <w:pStyle w:val="18"/>
              <w:jc w:val="center"/>
              <w:rPr>
                <w:sz w:val="21"/>
                <w:szCs w:val="21"/>
              </w:rPr>
            </w:pPr>
            <w:r>
              <w:rPr>
                <w:sz w:val="21"/>
                <w:szCs w:val="21"/>
              </w:rPr>
              <w:t>线上 + 线下（理论授课 + 虚拟训练）</w:t>
            </w:r>
          </w:p>
        </w:tc>
        <w:tc>
          <w:tcPr>
            <w:tcW w:w="1791" w:type="dxa"/>
            <w:tcBorders>
              <w:tl2br w:val="nil"/>
              <w:tr2bl w:val="nil"/>
            </w:tcBorders>
            <w:tcMar>
              <w:top w:w="60" w:type="dxa"/>
              <w:left w:w="120" w:type="dxa"/>
              <w:bottom w:w="30" w:type="dxa"/>
              <w:right w:w="120" w:type="dxa"/>
            </w:tcMar>
          </w:tcPr>
          <w:p w14:paraId="13364DF5">
            <w:pPr>
              <w:pStyle w:val="18"/>
              <w:rPr>
                <w:sz w:val="21"/>
                <w:szCs w:val="21"/>
              </w:rPr>
            </w:pPr>
            <w:r>
              <w:rPr>
                <w:sz w:val="21"/>
                <w:szCs w:val="21"/>
              </w:rPr>
              <w:t>过程性评价（课程参与度、阶段性技能考核）+ 结果性评价（理论考试 + 实操考核）</w:t>
            </w:r>
          </w:p>
        </w:tc>
        <w:tc>
          <w:tcPr>
            <w:tcW w:w="1209" w:type="dxa"/>
            <w:tcBorders>
              <w:tl2br w:val="nil"/>
              <w:tr2bl w:val="nil"/>
            </w:tcBorders>
            <w:tcMar>
              <w:top w:w="60" w:type="dxa"/>
              <w:left w:w="120" w:type="dxa"/>
              <w:bottom w:w="30" w:type="dxa"/>
              <w:right w:w="120" w:type="dxa"/>
            </w:tcMar>
          </w:tcPr>
          <w:p w14:paraId="7B807622">
            <w:pPr>
              <w:pStyle w:val="18"/>
              <w:rPr>
                <w:rFonts w:hint="default" w:eastAsia="等线"/>
                <w:sz w:val="21"/>
                <w:szCs w:val="21"/>
                <w:lang w:val="en-US" w:eastAsia="zh-CN"/>
              </w:rPr>
            </w:pPr>
            <w:r>
              <w:rPr>
                <w:sz w:val="21"/>
                <w:szCs w:val="21"/>
              </w:rPr>
              <w:t>2025 年 12 月</w:t>
            </w:r>
            <w:r>
              <w:rPr>
                <w:rFonts w:hint="eastAsia"/>
                <w:sz w:val="21"/>
                <w:szCs w:val="21"/>
                <w:lang w:val="en-US" w:eastAsia="zh-CN"/>
              </w:rPr>
              <w:t>-2026年4月</w:t>
            </w:r>
          </w:p>
        </w:tc>
        <w:tc>
          <w:tcPr>
            <w:tcW w:w="1603" w:type="dxa"/>
            <w:tcBorders>
              <w:tl2br w:val="nil"/>
              <w:tr2bl w:val="nil"/>
            </w:tcBorders>
            <w:tcMar>
              <w:top w:w="60" w:type="dxa"/>
              <w:left w:w="120" w:type="dxa"/>
              <w:bottom w:w="30" w:type="dxa"/>
              <w:right w:w="120" w:type="dxa"/>
            </w:tcMar>
          </w:tcPr>
          <w:p w14:paraId="2347B3E2">
            <w:pPr>
              <w:pStyle w:val="18"/>
              <w:rPr>
                <w:sz w:val="21"/>
                <w:szCs w:val="21"/>
              </w:rPr>
            </w:pPr>
            <w:r>
              <w:rPr>
                <w:sz w:val="21"/>
                <w:szCs w:val="21"/>
              </w:rPr>
              <w:t>涵盖航空器原理、无人机结构与性能等，帮助学生建立无人机飞行技术基础认知</w:t>
            </w:r>
          </w:p>
        </w:tc>
      </w:tr>
      <w:tr w14:paraId="717062B4">
        <w:tblPrEx>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CellMar>
            <w:top w:w="0" w:type="dxa"/>
            <w:left w:w="10" w:type="dxa"/>
            <w:bottom w:w="0" w:type="dxa"/>
            <w:right w:w="10" w:type="dxa"/>
          </w:tblCellMar>
        </w:tblPrEx>
        <w:tc>
          <w:tcPr>
            <w:tcW w:w="1358" w:type="dxa"/>
            <w:tcBorders>
              <w:tl2br w:val="nil"/>
              <w:tr2bl w:val="nil"/>
            </w:tcBorders>
            <w:tcMar>
              <w:top w:w="60" w:type="dxa"/>
              <w:left w:w="120" w:type="dxa"/>
              <w:bottom w:w="30" w:type="dxa"/>
              <w:right w:w="120" w:type="dxa"/>
            </w:tcMar>
          </w:tcPr>
          <w:p w14:paraId="7ED80505">
            <w:pPr>
              <w:pStyle w:val="18"/>
              <w:rPr>
                <w:sz w:val="21"/>
                <w:szCs w:val="21"/>
              </w:rPr>
            </w:pPr>
            <w:r>
              <w:rPr>
                <w:sz w:val="21"/>
                <w:szCs w:val="21"/>
              </w:rPr>
              <w:t>《低空经济政策与法规》</w:t>
            </w:r>
          </w:p>
        </w:tc>
        <w:tc>
          <w:tcPr>
            <w:tcW w:w="971" w:type="dxa"/>
            <w:tcBorders>
              <w:tl2br w:val="nil"/>
              <w:tr2bl w:val="nil"/>
            </w:tcBorders>
            <w:tcMar>
              <w:top w:w="60" w:type="dxa"/>
              <w:left w:w="120" w:type="dxa"/>
              <w:bottom w:w="30" w:type="dxa"/>
              <w:right w:w="120" w:type="dxa"/>
            </w:tcMar>
          </w:tcPr>
          <w:p w14:paraId="0F870F3A">
            <w:pPr>
              <w:pStyle w:val="18"/>
              <w:jc w:val="center"/>
              <w:rPr>
                <w:sz w:val="21"/>
                <w:szCs w:val="21"/>
              </w:rPr>
            </w:pPr>
            <w:r>
              <w:rPr>
                <w:sz w:val="21"/>
                <w:szCs w:val="21"/>
              </w:rPr>
              <w:t>48</w:t>
            </w:r>
          </w:p>
        </w:tc>
        <w:tc>
          <w:tcPr>
            <w:tcW w:w="692" w:type="dxa"/>
            <w:tcBorders>
              <w:tl2br w:val="nil"/>
              <w:tr2bl w:val="nil"/>
            </w:tcBorders>
            <w:tcMar>
              <w:top w:w="60" w:type="dxa"/>
              <w:left w:w="120" w:type="dxa"/>
              <w:bottom w:w="30" w:type="dxa"/>
              <w:right w:w="120" w:type="dxa"/>
            </w:tcMar>
          </w:tcPr>
          <w:p w14:paraId="5DF9D622">
            <w:pPr>
              <w:pStyle w:val="18"/>
              <w:jc w:val="center"/>
              <w:rPr>
                <w:sz w:val="21"/>
                <w:szCs w:val="21"/>
              </w:rPr>
            </w:pPr>
            <w:r>
              <w:rPr>
                <w:sz w:val="21"/>
                <w:szCs w:val="21"/>
              </w:rPr>
              <w:t>2</w:t>
            </w:r>
          </w:p>
        </w:tc>
        <w:tc>
          <w:tcPr>
            <w:tcW w:w="1642" w:type="dxa"/>
            <w:tcBorders>
              <w:tl2br w:val="nil"/>
              <w:tr2bl w:val="nil"/>
            </w:tcBorders>
            <w:tcMar>
              <w:top w:w="60" w:type="dxa"/>
              <w:left w:w="120" w:type="dxa"/>
              <w:bottom w:w="30" w:type="dxa"/>
              <w:right w:w="120" w:type="dxa"/>
            </w:tcMar>
          </w:tcPr>
          <w:p w14:paraId="2C3A918C">
            <w:pPr>
              <w:pStyle w:val="18"/>
              <w:jc w:val="center"/>
              <w:rPr>
                <w:sz w:val="21"/>
                <w:szCs w:val="21"/>
              </w:rPr>
            </w:pPr>
            <w:r>
              <w:rPr>
                <w:sz w:val="21"/>
                <w:szCs w:val="21"/>
              </w:rPr>
              <w:t>线上 + 线下（理论授课 + 案例分析）</w:t>
            </w:r>
          </w:p>
        </w:tc>
        <w:tc>
          <w:tcPr>
            <w:tcW w:w="1791" w:type="dxa"/>
            <w:tcBorders>
              <w:tl2br w:val="nil"/>
              <w:tr2bl w:val="nil"/>
            </w:tcBorders>
            <w:tcMar>
              <w:top w:w="60" w:type="dxa"/>
              <w:left w:w="120" w:type="dxa"/>
              <w:bottom w:w="30" w:type="dxa"/>
              <w:right w:w="120" w:type="dxa"/>
            </w:tcMar>
          </w:tcPr>
          <w:p w14:paraId="61AC7785">
            <w:pPr>
              <w:pStyle w:val="18"/>
              <w:rPr>
                <w:sz w:val="21"/>
                <w:szCs w:val="21"/>
              </w:rPr>
            </w:pPr>
            <w:r>
              <w:rPr>
                <w:sz w:val="21"/>
                <w:szCs w:val="21"/>
              </w:rPr>
              <w:t>过程性评价（课堂互动、案例作业）+ 结果性评价（理论考试）</w:t>
            </w:r>
          </w:p>
        </w:tc>
        <w:tc>
          <w:tcPr>
            <w:tcW w:w="1209" w:type="dxa"/>
            <w:tcBorders>
              <w:tl2br w:val="nil"/>
              <w:tr2bl w:val="nil"/>
            </w:tcBorders>
            <w:tcMar>
              <w:top w:w="60" w:type="dxa"/>
              <w:left w:w="120" w:type="dxa"/>
              <w:bottom w:w="30" w:type="dxa"/>
              <w:right w:w="120" w:type="dxa"/>
            </w:tcMar>
          </w:tcPr>
          <w:p w14:paraId="6CAE11EF">
            <w:pPr>
              <w:pStyle w:val="18"/>
              <w:rPr>
                <w:sz w:val="21"/>
                <w:szCs w:val="21"/>
              </w:rPr>
            </w:pPr>
            <w:r>
              <w:rPr>
                <w:sz w:val="21"/>
                <w:szCs w:val="21"/>
              </w:rPr>
              <w:t>2025 年 12 月</w:t>
            </w:r>
            <w:r>
              <w:rPr>
                <w:rFonts w:hint="eastAsia"/>
                <w:sz w:val="21"/>
                <w:szCs w:val="21"/>
                <w:lang w:val="en-US" w:eastAsia="zh-CN"/>
              </w:rPr>
              <w:t>-2026年4月</w:t>
            </w:r>
          </w:p>
        </w:tc>
        <w:tc>
          <w:tcPr>
            <w:tcW w:w="1603" w:type="dxa"/>
            <w:tcBorders>
              <w:tl2br w:val="nil"/>
              <w:tr2bl w:val="nil"/>
            </w:tcBorders>
            <w:tcMar>
              <w:top w:w="60" w:type="dxa"/>
              <w:left w:w="120" w:type="dxa"/>
              <w:bottom w:w="30" w:type="dxa"/>
              <w:right w:w="120" w:type="dxa"/>
            </w:tcMar>
          </w:tcPr>
          <w:p w14:paraId="2829CE63">
            <w:pPr>
              <w:pStyle w:val="18"/>
              <w:rPr>
                <w:sz w:val="21"/>
                <w:szCs w:val="21"/>
              </w:rPr>
            </w:pPr>
            <w:r>
              <w:rPr>
                <w:sz w:val="21"/>
                <w:szCs w:val="21"/>
              </w:rPr>
              <w:t>解读低空经济相关国家战略、政策文件，讲解低空飞行管理法规等</w:t>
            </w:r>
          </w:p>
        </w:tc>
      </w:tr>
      <w:tr w14:paraId="384D69E8">
        <w:tblPrEx>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CellMar>
            <w:top w:w="0" w:type="dxa"/>
            <w:left w:w="10" w:type="dxa"/>
            <w:bottom w:w="0" w:type="dxa"/>
            <w:right w:w="10" w:type="dxa"/>
          </w:tblCellMar>
        </w:tblPrEx>
        <w:tc>
          <w:tcPr>
            <w:tcW w:w="1358" w:type="dxa"/>
            <w:tcBorders>
              <w:tl2br w:val="nil"/>
              <w:tr2bl w:val="nil"/>
            </w:tcBorders>
            <w:tcMar>
              <w:top w:w="60" w:type="dxa"/>
              <w:left w:w="120" w:type="dxa"/>
              <w:bottom w:w="30" w:type="dxa"/>
              <w:right w:w="120" w:type="dxa"/>
            </w:tcMar>
          </w:tcPr>
          <w:p w14:paraId="00CA7938">
            <w:pPr>
              <w:pStyle w:val="18"/>
              <w:rPr>
                <w:sz w:val="21"/>
                <w:szCs w:val="21"/>
              </w:rPr>
            </w:pPr>
            <w:r>
              <w:rPr>
                <w:sz w:val="21"/>
                <w:szCs w:val="21"/>
              </w:rPr>
              <w:t>《无人机物流调度规划》</w:t>
            </w:r>
          </w:p>
        </w:tc>
        <w:tc>
          <w:tcPr>
            <w:tcW w:w="971" w:type="dxa"/>
            <w:tcBorders>
              <w:tl2br w:val="nil"/>
              <w:tr2bl w:val="nil"/>
            </w:tcBorders>
            <w:tcMar>
              <w:top w:w="60" w:type="dxa"/>
              <w:left w:w="120" w:type="dxa"/>
              <w:bottom w:w="30" w:type="dxa"/>
              <w:right w:w="120" w:type="dxa"/>
            </w:tcMar>
          </w:tcPr>
          <w:p w14:paraId="3BE659FA">
            <w:pPr>
              <w:pStyle w:val="18"/>
              <w:jc w:val="center"/>
              <w:rPr>
                <w:sz w:val="21"/>
                <w:szCs w:val="21"/>
              </w:rPr>
            </w:pPr>
            <w:r>
              <w:rPr>
                <w:sz w:val="21"/>
                <w:szCs w:val="21"/>
              </w:rPr>
              <w:t>64</w:t>
            </w:r>
          </w:p>
        </w:tc>
        <w:tc>
          <w:tcPr>
            <w:tcW w:w="692" w:type="dxa"/>
            <w:tcBorders>
              <w:tl2br w:val="nil"/>
              <w:tr2bl w:val="nil"/>
            </w:tcBorders>
            <w:tcMar>
              <w:top w:w="60" w:type="dxa"/>
              <w:left w:w="120" w:type="dxa"/>
              <w:bottom w:w="30" w:type="dxa"/>
              <w:right w:w="120" w:type="dxa"/>
            </w:tcMar>
          </w:tcPr>
          <w:p w14:paraId="43DC984B">
            <w:pPr>
              <w:pStyle w:val="18"/>
              <w:jc w:val="center"/>
              <w:rPr>
                <w:sz w:val="21"/>
                <w:szCs w:val="21"/>
              </w:rPr>
            </w:pPr>
            <w:r>
              <w:rPr>
                <w:sz w:val="21"/>
                <w:szCs w:val="21"/>
              </w:rPr>
              <w:t>3</w:t>
            </w:r>
          </w:p>
        </w:tc>
        <w:tc>
          <w:tcPr>
            <w:tcW w:w="1642" w:type="dxa"/>
            <w:tcBorders>
              <w:tl2br w:val="nil"/>
              <w:tr2bl w:val="nil"/>
            </w:tcBorders>
            <w:tcMar>
              <w:top w:w="60" w:type="dxa"/>
              <w:left w:w="120" w:type="dxa"/>
              <w:bottom w:w="30" w:type="dxa"/>
              <w:right w:w="120" w:type="dxa"/>
            </w:tcMar>
          </w:tcPr>
          <w:p w14:paraId="2221F82D">
            <w:pPr>
              <w:pStyle w:val="18"/>
              <w:jc w:val="center"/>
              <w:rPr>
                <w:sz w:val="21"/>
                <w:szCs w:val="21"/>
              </w:rPr>
            </w:pPr>
            <w:r>
              <w:rPr>
                <w:sz w:val="21"/>
                <w:szCs w:val="21"/>
              </w:rPr>
              <w:t>线上 + 线下（理论授课 + 仿真实训）</w:t>
            </w:r>
          </w:p>
        </w:tc>
        <w:tc>
          <w:tcPr>
            <w:tcW w:w="1791" w:type="dxa"/>
            <w:tcBorders>
              <w:tl2br w:val="nil"/>
              <w:tr2bl w:val="nil"/>
            </w:tcBorders>
            <w:tcMar>
              <w:top w:w="60" w:type="dxa"/>
              <w:left w:w="120" w:type="dxa"/>
              <w:bottom w:w="30" w:type="dxa"/>
              <w:right w:w="120" w:type="dxa"/>
            </w:tcMar>
          </w:tcPr>
          <w:p w14:paraId="1C611FD5">
            <w:pPr>
              <w:pStyle w:val="18"/>
              <w:rPr>
                <w:sz w:val="21"/>
                <w:szCs w:val="21"/>
              </w:rPr>
            </w:pPr>
            <w:r>
              <w:rPr>
                <w:sz w:val="21"/>
                <w:szCs w:val="21"/>
              </w:rPr>
              <w:t>过程性评价（实训任务完成度、方案设计）+ 结果性评价（实操考核 + 方案答辩）</w:t>
            </w:r>
          </w:p>
        </w:tc>
        <w:tc>
          <w:tcPr>
            <w:tcW w:w="1209" w:type="dxa"/>
            <w:tcBorders>
              <w:tl2br w:val="nil"/>
              <w:tr2bl w:val="nil"/>
            </w:tcBorders>
            <w:tcMar>
              <w:top w:w="60" w:type="dxa"/>
              <w:left w:w="120" w:type="dxa"/>
              <w:bottom w:w="30" w:type="dxa"/>
              <w:right w:w="120" w:type="dxa"/>
            </w:tcMar>
          </w:tcPr>
          <w:p w14:paraId="4640771B">
            <w:pPr>
              <w:pStyle w:val="18"/>
              <w:rPr>
                <w:sz w:val="21"/>
                <w:szCs w:val="21"/>
              </w:rPr>
            </w:pPr>
            <w:r>
              <w:rPr>
                <w:sz w:val="21"/>
                <w:szCs w:val="21"/>
              </w:rPr>
              <w:t>2025 年 12 月</w:t>
            </w:r>
            <w:r>
              <w:rPr>
                <w:rFonts w:hint="eastAsia"/>
                <w:sz w:val="21"/>
                <w:szCs w:val="21"/>
                <w:lang w:val="en-US" w:eastAsia="zh-CN"/>
              </w:rPr>
              <w:t>-2026年4月</w:t>
            </w:r>
          </w:p>
        </w:tc>
        <w:tc>
          <w:tcPr>
            <w:tcW w:w="1603" w:type="dxa"/>
            <w:tcBorders>
              <w:tl2br w:val="nil"/>
              <w:tr2bl w:val="nil"/>
            </w:tcBorders>
            <w:tcMar>
              <w:top w:w="60" w:type="dxa"/>
              <w:left w:w="120" w:type="dxa"/>
              <w:bottom w:w="30" w:type="dxa"/>
              <w:right w:w="120" w:type="dxa"/>
            </w:tcMar>
          </w:tcPr>
          <w:p w14:paraId="44FAB807">
            <w:pPr>
              <w:pStyle w:val="18"/>
              <w:rPr>
                <w:sz w:val="21"/>
                <w:szCs w:val="21"/>
              </w:rPr>
            </w:pPr>
            <w:r>
              <w:rPr>
                <w:sz w:val="21"/>
                <w:szCs w:val="21"/>
              </w:rPr>
              <w:t>教授无人机物流配送航线规划方法等，结合仿真系统开展调度方案设计与验证实训</w:t>
            </w:r>
          </w:p>
        </w:tc>
      </w:tr>
      <w:tr w14:paraId="15EA4226">
        <w:tblPrEx>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CellMar>
            <w:top w:w="0" w:type="dxa"/>
            <w:left w:w="10" w:type="dxa"/>
            <w:bottom w:w="0" w:type="dxa"/>
            <w:right w:w="10" w:type="dxa"/>
          </w:tblCellMar>
        </w:tblPrEx>
        <w:tc>
          <w:tcPr>
            <w:tcW w:w="1358" w:type="dxa"/>
            <w:tcBorders>
              <w:tl2br w:val="nil"/>
              <w:tr2bl w:val="nil"/>
            </w:tcBorders>
            <w:tcMar>
              <w:top w:w="60" w:type="dxa"/>
              <w:left w:w="120" w:type="dxa"/>
              <w:bottom w:w="30" w:type="dxa"/>
              <w:right w:w="120" w:type="dxa"/>
            </w:tcMar>
          </w:tcPr>
          <w:p w14:paraId="4D120A28">
            <w:pPr>
              <w:pStyle w:val="18"/>
              <w:rPr>
                <w:sz w:val="21"/>
                <w:szCs w:val="21"/>
              </w:rPr>
            </w:pPr>
            <w:r>
              <w:rPr>
                <w:sz w:val="21"/>
                <w:szCs w:val="21"/>
              </w:rPr>
              <w:t>《低空物流项目管理》</w:t>
            </w:r>
          </w:p>
        </w:tc>
        <w:tc>
          <w:tcPr>
            <w:tcW w:w="971" w:type="dxa"/>
            <w:tcBorders>
              <w:tl2br w:val="nil"/>
              <w:tr2bl w:val="nil"/>
            </w:tcBorders>
            <w:tcMar>
              <w:top w:w="60" w:type="dxa"/>
              <w:left w:w="120" w:type="dxa"/>
              <w:bottom w:w="30" w:type="dxa"/>
              <w:right w:w="120" w:type="dxa"/>
            </w:tcMar>
          </w:tcPr>
          <w:p w14:paraId="665B282A">
            <w:pPr>
              <w:pStyle w:val="18"/>
              <w:jc w:val="center"/>
              <w:rPr>
                <w:sz w:val="21"/>
                <w:szCs w:val="21"/>
              </w:rPr>
            </w:pPr>
            <w:r>
              <w:rPr>
                <w:sz w:val="21"/>
                <w:szCs w:val="21"/>
              </w:rPr>
              <w:t>48</w:t>
            </w:r>
          </w:p>
        </w:tc>
        <w:tc>
          <w:tcPr>
            <w:tcW w:w="692" w:type="dxa"/>
            <w:tcBorders>
              <w:tl2br w:val="nil"/>
              <w:tr2bl w:val="nil"/>
            </w:tcBorders>
            <w:tcMar>
              <w:top w:w="60" w:type="dxa"/>
              <w:left w:w="120" w:type="dxa"/>
              <w:bottom w:w="30" w:type="dxa"/>
              <w:right w:w="120" w:type="dxa"/>
            </w:tcMar>
          </w:tcPr>
          <w:p w14:paraId="776CFB2E">
            <w:pPr>
              <w:pStyle w:val="18"/>
              <w:jc w:val="center"/>
              <w:rPr>
                <w:sz w:val="21"/>
                <w:szCs w:val="21"/>
              </w:rPr>
            </w:pPr>
            <w:r>
              <w:rPr>
                <w:sz w:val="21"/>
                <w:szCs w:val="21"/>
              </w:rPr>
              <w:t>2</w:t>
            </w:r>
          </w:p>
        </w:tc>
        <w:tc>
          <w:tcPr>
            <w:tcW w:w="1642" w:type="dxa"/>
            <w:tcBorders>
              <w:tl2br w:val="nil"/>
              <w:tr2bl w:val="nil"/>
            </w:tcBorders>
            <w:tcMar>
              <w:top w:w="60" w:type="dxa"/>
              <w:left w:w="120" w:type="dxa"/>
              <w:bottom w:w="30" w:type="dxa"/>
              <w:right w:w="120" w:type="dxa"/>
            </w:tcMar>
          </w:tcPr>
          <w:p w14:paraId="4B0156F9">
            <w:pPr>
              <w:pStyle w:val="18"/>
              <w:jc w:val="center"/>
              <w:rPr>
                <w:sz w:val="21"/>
                <w:szCs w:val="21"/>
              </w:rPr>
            </w:pPr>
            <w:r>
              <w:rPr>
                <w:sz w:val="21"/>
                <w:szCs w:val="21"/>
              </w:rPr>
              <w:t>线上 + 线下（理论授课 + 项目模拟）</w:t>
            </w:r>
          </w:p>
        </w:tc>
        <w:tc>
          <w:tcPr>
            <w:tcW w:w="1791" w:type="dxa"/>
            <w:tcBorders>
              <w:tl2br w:val="nil"/>
              <w:tr2bl w:val="nil"/>
            </w:tcBorders>
            <w:tcMar>
              <w:top w:w="60" w:type="dxa"/>
              <w:left w:w="120" w:type="dxa"/>
              <w:bottom w:w="30" w:type="dxa"/>
              <w:right w:w="120" w:type="dxa"/>
            </w:tcMar>
          </w:tcPr>
          <w:p w14:paraId="67022ED8">
            <w:pPr>
              <w:pStyle w:val="18"/>
              <w:rPr>
                <w:sz w:val="21"/>
                <w:szCs w:val="21"/>
              </w:rPr>
            </w:pPr>
            <w:r>
              <w:rPr>
                <w:sz w:val="21"/>
                <w:szCs w:val="21"/>
              </w:rPr>
              <w:t>过程性评价（项目参与度、阶段报告）+ 结果性评价（项目方案设计 + 答辩）</w:t>
            </w:r>
          </w:p>
        </w:tc>
        <w:tc>
          <w:tcPr>
            <w:tcW w:w="1209" w:type="dxa"/>
            <w:tcBorders>
              <w:tl2br w:val="nil"/>
              <w:tr2bl w:val="nil"/>
            </w:tcBorders>
            <w:tcMar>
              <w:top w:w="60" w:type="dxa"/>
              <w:left w:w="120" w:type="dxa"/>
              <w:bottom w:w="30" w:type="dxa"/>
              <w:right w:w="120" w:type="dxa"/>
            </w:tcMar>
          </w:tcPr>
          <w:p w14:paraId="07166440">
            <w:pPr>
              <w:rPr>
                <w:rFonts w:ascii="Arial" w:hAnsi="Arial" w:eastAsia="等线" w:cs="Arial"/>
                <w:sz w:val="21"/>
                <w:szCs w:val="21"/>
              </w:rPr>
            </w:pPr>
            <w:r>
              <w:rPr>
                <w:rFonts w:ascii="Arial" w:hAnsi="Arial" w:eastAsia="等线" w:cs="Arial"/>
                <w:sz w:val="21"/>
                <w:szCs w:val="21"/>
              </w:rPr>
              <w:t>2025 年 12 月</w:t>
            </w:r>
            <w:r>
              <w:rPr>
                <w:rFonts w:hint="eastAsia" w:ascii="Arial" w:hAnsi="Arial" w:eastAsia="等线" w:cs="Arial"/>
                <w:sz w:val="21"/>
                <w:szCs w:val="21"/>
                <w:lang w:val="en-US" w:eastAsia="zh-CN"/>
              </w:rPr>
              <w:t>-2026年4月</w:t>
            </w:r>
            <w:bookmarkStart w:id="0" w:name="_GoBack"/>
            <w:bookmarkEnd w:id="0"/>
          </w:p>
        </w:tc>
        <w:tc>
          <w:tcPr>
            <w:tcW w:w="1603" w:type="dxa"/>
            <w:tcBorders>
              <w:tl2br w:val="nil"/>
              <w:tr2bl w:val="nil"/>
            </w:tcBorders>
            <w:tcMar>
              <w:top w:w="60" w:type="dxa"/>
              <w:left w:w="120" w:type="dxa"/>
              <w:bottom w:w="30" w:type="dxa"/>
              <w:right w:w="120" w:type="dxa"/>
            </w:tcMar>
          </w:tcPr>
          <w:p w14:paraId="2A596E47">
            <w:pPr>
              <w:pStyle w:val="18"/>
              <w:rPr>
                <w:sz w:val="21"/>
                <w:szCs w:val="21"/>
              </w:rPr>
            </w:pPr>
            <w:r>
              <w:rPr>
                <w:sz w:val="21"/>
                <w:szCs w:val="21"/>
              </w:rPr>
              <w:t>涵盖低空物流项目立项、计划制定等内容，通过模拟真实项目提升学生项目管理能力</w:t>
            </w:r>
          </w:p>
        </w:tc>
      </w:tr>
      <w:tr w14:paraId="598044B1">
        <w:tblPrEx>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CellMar>
            <w:top w:w="0" w:type="dxa"/>
            <w:left w:w="10" w:type="dxa"/>
            <w:bottom w:w="0" w:type="dxa"/>
            <w:right w:w="10" w:type="dxa"/>
          </w:tblCellMar>
        </w:tblPrEx>
        <w:tc>
          <w:tcPr>
            <w:tcW w:w="1358" w:type="dxa"/>
            <w:tcBorders>
              <w:tl2br w:val="nil"/>
              <w:tr2bl w:val="nil"/>
            </w:tcBorders>
            <w:tcMar>
              <w:top w:w="60" w:type="dxa"/>
              <w:left w:w="120" w:type="dxa"/>
              <w:bottom w:w="30" w:type="dxa"/>
              <w:right w:w="120" w:type="dxa"/>
            </w:tcMar>
          </w:tcPr>
          <w:p w14:paraId="4797E69C">
            <w:pPr>
              <w:pStyle w:val="18"/>
              <w:rPr>
                <w:sz w:val="21"/>
                <w:szCs w:val="21"/>
              </w:rPr>
            </w:pPr>
            <w:r>
              <w:rPr>
                <w:sz w:val="21"/>
                <w:szCs w:val="21"/>
              </w:rPr>
              <w:t>《无人机装调检修实训》</w:t>
            </w:r>
          </w:p>
        </w:tc>
        <w:tc>
          <w:tcPr>
            <w:tcW w:w="971" w:type="dxa"/>
            <w:tcBorders>
              <w:tl2br w:val="nil"/>
              <w:tr2bl w:val="nil"/>
            </w:tcBorders>
            <w:tcMar>
              <w:top w:w="60" w:type="dxa"/>
              <w:left w:w="120" w:type="dxa"/>
              <w:bottom w:w="30" w:type="dxa"/>
              <w:right w:w="120" w:type="dxa"/>
            </w:tcMar>
          </w:tcPr>
          <w:p w14:paraId="2F41389E">
            <w:pPr>
              <w:pStyle w:val="18"/>
              <w:jc w:val="center"/>
              <w:rPr>
                <w:sz w:val="21"/>
                <w:szCs w:val="21"/>
              </w:rPr>
            </w:pPr>
            <w:r>
              <w:rPr>
                <w:sz w:val="21"/>
                <w:szCs w:val="21"/>
              </w:rPr>
              <w:t>80</w:t>
            </w:r>
          </w:p>
        </w:tc>
        <w:tc>
          <w:tcPr>
            <w:tcW w:w="692" w:type="dxa"/>
            <w:tcBorders>
              <w:tl2br w:val="nil"/>
              <w:tr2bl w:val="nil"/>
            </w:tcBorders>
            <w:tcMar>
              <w:top w:w="60" w:type="dxa"/>
              <w:left w:w="120" w:type="dxa"/>
              <w:bottom w:w="30" w:type="dxa"/>
              <w:right w:w="120" w:type="dxa"/>
            </w:tcMar>
          </w:tcPr>
          <w:p w14:paraId="7A78F1A1">
            <w:pPr>
              <w:pStyle w:val="18"/>
              <w:jc w:val="center"/>
              <w:rPr>
                <w:sz w:val="21"/>
                <w:szCs w:val="21"/>
              </w:rPr>
            </w:pPr>
            <w:r>
              <w:rPr>
                <w:sz w:val="21"/>
                <w:szCs w:val="21"/>
              </w:rPr>
              <w:t>4</w:t>
            </w:r>
          </w:p>
        </w:tc>
        <w:tc>
          <w:tcPr>
            <w:tcW w:w="1642" w:type="dxa"/>
            <w:tcBorders>
              <w:tl2br w:val="nil"/>
              <w:tr2bl w:val="nil"/>
            </w:tcBorders>
            <w:tcMar>
              <w:top w:w="60" w:type="dxa"/>
              <w:left w:w="120" w:type="dxa"/>
              <w:bottom w:w="30" w:type="dxa"/>
              <w:right w:w="120" w:type="dxa"/>
            </w:tcMar>
          </w:tcPr>
          <w:p w14:paraId="63DF631C">
            <w:pPr>
              <w:pStyle w:val="18"/>
              <w:jc w:val="center"/>
              <w:rPr>
                <w:sz w:val="21"/>
                <w:szCs w:val="21"/>
              </w:rPr>
            </w:pPr>
            <w:r>
              <w:rPr>
                <w:sz w:val="21"/>
                <w:szCs w:val="21"/>
              </w:rPr>
              <w:t>线下（校内实训基地实操 + 企业导师指导）</w:t>
            </w:r>
          </w:p>
        </w:tc>
        <w:tc>
          <w:tcPr>
            <w:tcW w:w="1791" w:type="dxa"/>
            <w:tcBorders>
              <w:tl2br w:val="nil"/>
              <w:tr2bl w:val="nil"/>
            </w:tcBorders>
            <w:tcMar>
              <w:top w:w="60" w:type="dxa"/>
              <w:left w:w="120" w:type="dxa"/>
              <w:bottom w:w="30" w:type="dxa"/>
              <w:right w:w="120" w:type="dxa"/>
            </w:tcMar>
          </w:tcPr>
          <w:p w14:paraId="2DEB43A1">
            <w:pPr>
              <w:pStyle w:val="18"/>
              <w:rPr>
                <w:sz w:val="21"/>
                <w:szCs w:val="21"/>
              </w:rPr>
            </w:pPr>
            <w:r>
              <w:rPr>
                <w:sz w:val="21"/>
                <w:szCs w:val="21"/>
              </w:rPr>
              <w:t>过程性评价（实训操作规范性、故障解决效率）+ 结果性评价（实操考核 + 检修报告）</w:t>
            </w:r>
          </w:p>
        </w:tc>
        <w:tc>
          <w:tcPr>
            <w:tcW w:w="1209" w:type="dxa"/>
            <w:tcBorders>
              <w:tl2br w:val="nil"/>
              <w:tr2bl w:val="nil"/>
            </w:tcBorders>
            <w:tcMar>
              <w:top w:w="60" w:type="dxa"/>
              <w:left w:w="120" w:type="dxa"/>
              <w:bottom w:w="30" w:type="dxa"/>
              <w:right w:w="120" w:type="dxa"/>
            </w:tcMar>
          </w:tcPr>
          <w:p w14:paraId="35500AEB">
            <w:pPr>
              <w:rPr>
                <w:rFonts w:ascii="Arial" w:hAnsi="Arial" w:eastAsia="等线" w:cs="Arial"/>
                <w:sz w:val="21"/>
                <w:szCs w:val="21"/>
              </w:rPr>
            </w:pPr>
            <w:r>
              <w:rPr>
                <w:rFonts w:ascii="Arial" w:hAnsi="Arial" w:eastAsia="等线" w:cs="Arial"/>
                <w:sz w:val="21"/>
                <w:szCs w:val="21"/>
              </w:rPr>
              <w:t>2025 年 12 月</w:t>
            </w:r>
            <w:r>
              <w:rPr>
                <w:rFonts w:hint="eastAsia" w:ascii="Arial" w:hAnsi="Arial" w:eastAsia="等线" w:cs="Arial"/>
                <w:sz w:val="21"/>
                <w:szCs w:val="21"/>
                <w:lang w:val="en-US" w:eastAsia="zh-CN"/>
              </w:rPr>
              <w:t>-2026年4月</w:t>
            </w:r>
          </w:p>
        </w:tc>
        <w:tc>
          <w:tcPr>
            <w:tcW w:w="1603" w:type="dxa"/>
            <w:tcBorders>
              <w:tl2br w:val="nil"/>
              <w:tr2bl w:val="nil"/>
            </w:tcBorders>
            <w:tcMar>
              <w:top w:w="60" w:type="dxa"/>
              <w:left w:w="120" w:type="dxa"/>
              <w:bottom w:w="30" w:type="dxa"/>
              <w:right w:w="120" w:type="dxa"/>
            </w:tcMar>
          </w:tcPr>
          <w:p w14:paraId="5BBFA29D">
            <w:pPr>
              <w:pStyle w:val="18"/>
              <w:rPr>
                <w:sz w:val="21"/>
                <w:szCs w:val="21"/>
              </w:rPr>
            </w:pPr>
            <w:r>
              <w:rPr>
                <w:sz w:val="21"/>
                <w:szCs w:val="21"/>
              </w:rPr>
              <w:t>开展无人机装配、调试等实操训练，对接企业真实运维场景</w:t>
            </w:r>
          </w:p>
        </w:tc>
      </w:tr>
      <w:tr w14:paraId="5B23C1B2">
        <w:tblPrEx>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CellMar>
            <w:top w:w="0" w:type="dxa"/>
            <w:left w:w="10" w:type="dxa"/>
            <w:bottom w:w="0" w:type="dxa"/>
            <w:right w:w="10" w:type="dxa"/>
          </w:tblCellMar>
        </w:tblPrEx>
        <w:tc>
          <w:tcPr>
            <w:tcW w:w="1358" w:type="dxa"/>
            <w:tcBorders>
              <w:tl2br w:val="nil"/>
              <w:tr2bl w:val="nil"/>
            </w:tcBorders>
            <w:tcMar>
              <w:top w:w="60" w:type="dxa"/>
              <w:left w:w="120" w:type="dxa"/>
              <w:bottom w:w="30" w:type="dxa"/>
              <w:right w:w="120" w:type="dxa"/>
            </w:tcMar>
          </w:tcPr>
          <w:p w14:paraId="71D32F68">
            <w:pPr>
              <w:pStyle w:val="18"/>
              <w:rPr>
                <w:sz w:val="21"/>
                <w:szCs w:val="21"/>
              </w:rPr>
            </w:pPr>
            <w:r>
              <w:rPr>
                <w:sz w:val="21"/>
                <w:szCs w:val="21"/>
              </w:rPr>
              <w:t>《低空配送实训》</w:t>
            </w:r>
          </w:p>
        </w:tc>
        <w:tc>
          <w:tcPr>
            <w:tcW w:w="971" w:type="dxa"/>
            <w:tcBorders>
              <w:tl2br w:val="nil"/>
              <w:tr2bl w:val="nil"/>
            </w:tcBorders>
            <w:tcMar>
              <w:top w:w="60" w:type="dxa"/>
              <w:left w:w="120" w:type="dxa"/>
              <w:bottom w:w="30" w:type="dxa"/>
              <w:right w:w="120" w:type="dxa"/>
            </w:tcMar>
          </w:tcPr>
          <w:p w14:paraId="4AFC2C95">
            <w:pPr>
              <w:pStyle w:val="18"/>
              <w:jc w:val="center"/>
              <w:rPr>
                <w:sz w:val="21"/>
                <w:szCs w:val="21"/>
              </w:rPr>
            </w:pPr>
            <w:r>
              <w:rPr>
                <w:sz w:val="21"/>
                <w:szCs w:val="21"/>
              </w:rPr>
              <w:t>80</w:t>
            </w:r>
          </w:p>
        </w:tc>
        <w:tc>
          <w:tcPr>
            <w:tcW w:w="692" w:type="dxa"/>
            <w:tcBorders>
              <w:tl2br w:val="nil"/>
              <w:tr2bl w:val="nil"/>
            </w:tcBorders>
            <w:tcMar>
              <w:top w:w="60" w:type="dxa"/>
              <w:left w:w="120" w:type="dxa"/>
              <w:bottom w:w="30" w:type="dxa"/>
              <w:right w:w="120" w:type="dxa"/>
            </w:tcMar>
          </w:tcPr>
          <w:p w14:paraId="0B1DD677">
            <w:pPr>
              <w:pStyle w:val="18"/>
              <w:jc w:val="center"/>
              <w:rPr>
                <w:sz w:val="21"/>
                <w:szCs w:val="21"/>
              </w:rPr>
            </w:pPr>
            <w:r>
              <w:rPr>
                <w:sz w:val="21"/>
                <w:szCs w:val="21"/>
              </w:rPr>
              <w:t>4</w:t>
            </w:r>
          </w:p>
        </w:tc>
        <w:tc>
          <w:tcPr>
            <w:tcW w:w="1642" w:type="dxa"/>
            <w:tcBorders>
              <w:tl2br w:val="nil"/>
              <w:tr2bl w:val="nil"/>
            </w:tcBorders>
            <w:tcMar>
              <w:top w:w="60" w:type="dxa"/>
              <w:left w:w="120" w:type="dxa"/>
              <w:bottom w:w="30" w:type="dxa"/>
              <w:right w:w="120" w:type="dxa"/>
            </w:tcMar>
          </w:tcPr>
          <w:p w14:paraId="76B02AFC">
            <w:pPr>
              <w:pStyle w:val="18"/>
              <w:jc w:val="center"/>
              <w:rPr>
                <w:sz w:val="21"/>
                <w:szCs w:val="21"/>
              </w:rPr>
            </w:pPr>
            <w:r>
              <w:rPr>
                <w:sz w:val="21"/>
                <w:szCs w:val="21"/>
              </w:rPr>
              <w:t>线下（校企合作实训基地实战）</w:t>
            </w:r>
          </w:p>
        </w:tc>
        <w:tc>
          <w:tcPr>
            <w:tcW w:w="1791" w:type="dxa"/>
            <w:tcBorders>
              <w:tl2br w:val="nil"/>
              <w:tr2bl w:val="nil"/>
            </w:tcBorders>
            <w:tcMar>
              <w:top w:w="60" w:type="dxa"/>
              <w:left w:w="120" w:type="dxa"/>
              <w:bottom w:w="30" w:type="dxa"/>
              <w:right w:w="120" w:type="dxa"/>
            </w:tcMar>
          </w:tcPr>
          <w:p w14:paraId="59038D1B">
            <w:pPr>
              <w:pStyle w:val="18"/>
              <w:rPr>
                <w:sz w:val="21"/>
                <w:szCs w:val="21"/>
              </w:rPr>
            </w:pPr>
            <w:r>
              <w:rPr>
                <w:sz w:val="21"/>
                <w:szCs w:val="21"/>
              </w:rPr>
              <w:t>过程性评价（实战任务完成质量、团队协作）+ 结果性评价（实战考核 + 实训总结）</w:t>
            </w:r>
          </w:p>
        </w:tc>
        <w:tc>
          <w:tcPr>
            <w:tcW w:w="1209" w:type="dxa"/>
            <w:tcBorders>
              <w:tl2br w:val="nil"/>
              <w:tr2bl w:val="nil"/>
            </w:tcBorders>
            <w:tcMar>
              <w:top w:w="60" w:type="dxa"/>
              <w:left w:w="120" w:type="dxa"/>
              <w:bottom w:w="30" w:type="dxa"/>
              <w:right w:w="120" w:type="dxa"/>
            </w:tcMar>
          </w:tcPr>
          <w:p w14:paraId="1F4A35C8">
            <w:pPr>
              <w:rPr>
                <w:rFonts w:ascii="Arial" w:hAnsi="Arial" w:eastAsia="等线" w:cs="Arial"/>
                <w:sz w:val="21"/>
                <w:szCs w:val="21"/>
              </w:rPr>
            </w:pPr>
            <w:r>
              <w:rPr>
                <w:rFonts w:ascii="Arial" w:hAnsi="Arial" w:eastAsia="等线" w:cs="Arial"/>
                <w:sz w:val="21"/>
                <w:szCs w:val="21"/>
              </w:rPr>
              <w:t>2025 年 12 月</w:t>
            </w:r>
            <w:r>
              <w:rPr>
                <w:rFonts w:hint="eastAsia" w:ascii="Arial" w:hAnsi="Arial" w:eastAsia="等线" w:cs="Arial"/>
                <w:sz w:val="21"/>
                <w:szCs w:val="21"/>
                <w:lang w:val="en-US" w:eastAsia="zh-CN"/>
              </w:rPr>
              <w:t>-2026年4月</w:t>
            </w:r>
          </w:p>
        </w:tc>
        <w:tc>
          <w:tcPr>
            <w:tcW w:w="1603" w:type="dxa"/>
            <w:tcBorders>
              <w:tl2br w:val="nil"/>
              <w:tr2bl w:val="nil"/>
            </w:tcBorders>
            <w:tcMar>
              <w:top w:w="60" w:type="dxa"/>
              <w:left w:w="120" w:type="dxa"/>
              <w:bottom w:w="30" w:type="dxa"/>
              <w:right w:w="120" w:type="dxa"/>
            </w:tcMar>
          </w:tcPr>
          <w:p w14:paraId="30F45404">
            <w:pPr>
              <w:pStyle w:val="18"/>
              <w:rPr>
                <w:sz w:val="21"/>
                <w:szCs w:val="21"/>
              </w:rPr>
            </w:pPr>
            <w:r>
              <w:rPr>
                <w:sz w:val="21"/>
                <w:szCs w:val="21"/>
              </w:rPr>
              <w:t>参与真实低空物流配送项目，开展任务规划、应急处理等实战训练</w:t>
            </w:r>
          </w:p>
        </w:tc>
      </w:tr>
    </w:tbl>
    <w:p w14:paraId="2A084107">
      <w:pPr>
        <w:pStyle w:val="5"/>
        <w:keepNext w:val="0"/>
        <w:keepLines w:val="0"/>
        <w:pageBreakBefore w:val="0"/>
        <w:widowControl/>
        <w:kinsoku/>
        <w:wordWrap/>
        <w:overflowPunct/>
        <w:topLinePunct w:val="0"/>
        <w:autoSpaceDE/>
        <w:autoSpaceDN/>
        <w:bidi w:val="0"/>
        <w:adjustRightInd/>
        <w:snapToGrid/>
        <w:spacing w:before="0" w:after="0" w:line="560" w:lineRule="exact"/>
        <w:ind w:left="0" w:leftChars="0" w:firstLine="640" w:firstLineChars="200"/>
        <w:textAlignment w:val="auto"/>
        <w:rPr>
          <w:rFonts w:hint="eastAsia" w:ascii="Times New Roman" w:hAnsi="Times New Roman" w:eastAsia="仿宋_GB2312" w:cs="Times New Roman"/>
          <w:b w:val="0"/>
          <w:bCs w:val="0"/>
          <w:i w:val="0"/>
          <w:iCs w:val="0"/>
          <w:caps w:val="0"/>
          <w:color w:val="333333"/>
          <w:spacing w:val="0"/>
          <w:kern w:val="0"/>
          <w:sz w:val="32"/>
          <w:szCs w:val="32"/>
          <w:shd w:val="clear" w:fill="FFFFFF"/>
          <w:lang w:val="en-US" w:eastAsia="zh-CN" w:bidi="ar"/>
        </w:rPr>
      </w:pPr>
      <w:r>
        <w:rPr>
          <w:rFonts w:hint="eastAsia" w:ascii="Times New Roman" w:hAnsi="Times New Roman" w:eastAsia="仿宋_GB2312" w:cs="Times New Roman"/>
          <w:b w:val="0"/>
          <w:bCs w:val="0"/>
          <w:i w:val="0"/>
          <w:iCs w:val="0"/>
          <w:caps w:val="0"/>
          <w:color w:val="333333"/>
          <w:spacing w:val="0"/>
          <w:kern w:val="0"/>
          <w:sz w:val="32"/>
          <w:szCs w:val="32"/>
          <w:shd w:val="clear" w:fill="FFFFFF"/>
          <w:lang w:val="en-US" w:eastAsia="zh-CN" w:bidi="ar"/>
        </w:rPr>
        <w:t>（二）招生计划</w:t>
      </w:r>
    </w:p>
    <w:p w14:paraId="268F6FED">
      <w:pPr>
        <w:pStyle w:val="18"/>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textAlignment w:val="auto"/>
        <w:rPr>
          <w:rFonts w:hint="eastAsia" w:ascii="仿宋_GB2312" w:hAnsi="宋体" w:eastAsia="仿宋_GB2312" w:cs="仿宋_GB2312"/>
          <w:b w:val="0"/>
          <w:bCs w:val="0"/>
          <w:color w:val="000000"/>
          <w:kern w:val="0"/>
          <w:sz w:val="32"/>
          <w:szCs w:val="32"/>
          <w:lang w:val="en-US" w:eastAsia="zh-CN" w:bidi="ar"/>
        </w:rPr>
      </w:pPr>
      <w:r>
        <w:rPr>
          <w:rFonts w:hint="eastAsia" w:ascii="仿宋_GB2312" w:hAnsi="宋体" w:eastAsia="仿宋_GB2312" w:cs="仿宋_GB2312"/>
          <w:b w:val="0"/>
          <w:bCs w:val="0"/>
          <w:color w:val="000000"/>
          <w:kern w:val="0"/>
          <w:sz w:val="32"/>
          <w:szCs w:val="32"/>
          <w:lang w:val="en-US" w:eastAsia="zh-CN" w:bidi="ar"/>
        </w:rPr>
        <w:t>该微专业面向我校 2023 级专科学生招生，本届招生规模为 50 人，低于 30 人不开班。</w:t>
      </w:r>
    </w:p>
    <w:p w14:paraId="2064342D">
      <w:pPr>
        <w:pStyle w:val="5"/>
        <w:keepNext w:val="0"/>
        <w:keepLines w:val="0"/>
        <w:pageBreakBefore w:val="0"/>
        <w:widowControl/>
        <w:kinsoku/>
        <w:wordWrap/>
        <w:overflowPunct/>
        <w:topLinePunct w:val="0"/>
        <w:autoSpaceDE/>
        <w:autoSpaceDN/>
        <w:bidi w:val="0"/>
        <w:adjustRightInd/>
        <w:snapToGrid/>
        <w:spacing w:before="0" w:after="0" w:line="560" w:lineRule="exact"/>
        <w:ind w:left="0" w:leftChars="0" w:firstLine="640" w:firstLineChars="200"/>
        <w:textAlignment w:val="auto"/>
        <w:rPr>
          <w:rFonts w:hint="default" w:ascii="Times New Roman" w:hAnsi="Times New Roman" w:eastAsia="仿宋_GB2312" w:cs="Times New Roman"/>
          <w:b w:val="0"/>
          <w:bCs w:val="0"/>
          <w:i w:val="0"/>
          <w:iCs w:val="0"/>
          <w:caps w:val="0"/>
          <w:color w:val="333333"/>
          <w:spacing w:val="0"/>
          <w:kern w:val="0"/>
          <w:sz w:val="32"/>
          <w:szCs w:val="32"/>
          <w:shd w:val="clear" w:fill="FFFFFF"/>
          <w:lang w:val="en-US" w:eastAsia="zh-CN" w:bidi="ar"/>
        </w:rPr>
      </w:pPr>
      <w:r>
        <w:rPr>
          <w:rFonts w:hint="default" w:ascii="Times New Roman" w:hAnsi="Times New Roman" w:eastAsia="仿宋_GB2312" w:cs="Times New Roman"/>
          <w:b w:val="0"/>
          <w:bCs w:val="0"/>
          <w:i w:val="0"/>
          <w:iCs w:val="0"/>
          <w:caps w:val="0"/>
          <w:color w:val="333333"/>
          <w:spacing w:val="0"/>
          <w:kern w:val="0"/>
          <w:sz w:val="32"/>
          <w:szCs w:val="32"/>
          <w:shd w:val="clear" w:fill="FFFFFF"/>
          <w:lang w:val="en-US" w:eastAsia="zh-CN" w:bidi="ar"/>
        </w:rPr>
        <w:t>（</w:t>
      </w:r>
      <w:r>
        <w:rPr>
          <w:rFonts w:hint="eastAsia" w:ascii="Times New Roman" w:hAnsi="Times New Roman" w:eastAsia="仿宋_GB2312" w:cs="Times New Roman"/>
          <w:b w:val="0"/>
          <w:bCs w:val="0"/>
          <w:i w:val="0"/>
          <w:iCs w:val="0"/>
          <w:caps w:val="0"/>
          <w:color w:val="333333"/>
          <w:spacing w:val="0"/>
          <w:kern w:val="0"/>
          <w:sz w:val="32"/>
          <w:szCs w:val="32"/>
          <w:shd w:val="clear" w:fill="FFFFFF"/>
          <w:lang w:val="en-US" w:eastAsia="zh-CN" w:bidi="ar"/>
        </w:rPr>
        <w:t>三</w:t>
      </w:r>
      <w:r>
        <w:rPr>
          <w:rFonts w:hint="default" w:ascii="Times New Roman" w:hAnsi="Times New Roman" w:eastAsia="仿宋_GB2312" w:cs="Times New Roman"/>
          <w:b w:val="0"/>
          <w:bCs w:val="0"/>
          <w:i w:val="0"/>
          <w:iCs w:val="0"/>
          <w:caps w:val="0"/>
          <w:color w:val="333333"/>
          <w:spacing w:val="0"/>
          <w:kern w:val="0"/>
          <w:sz w:val="32"/>
          <w:szCs w:val="32"/>
          <w:shd w:val="clear" w:fill="FFFFFF"/>
          <w:lang w:val="en-US" w:eastAsia="zh-CN" w:bidi="ar"/>
        </w:rPr>
        <w:t>）证书发放</w:t>
      </w:r>
    </w:p>
    <w:p w14:paraId="2FA90164">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default" w:ascii="Times New Roman" w:hAnsi="Times New Roman" w:eastAsia="仿宋_GB2312" w:cs="Times New Roman"/>
          <w:i w:val="0"/>
          <w:iCs w:val="0"/>
          <w:caps w:val="0"/>
          <w:color w:val="333333"/>
          <w:spacing w:val="0"/>
          <w:sz w:val="32"/>
          <w:szCs w:val="32"/>
          <w:shd w:val="clear" w:fill="FFFFFF"/>
          <w:lang w:val="en-US" w:eastAsia="zh-CN"/>
        </w:rPr>
      </w:pPr>
      <w:r>
        <w:rPr>
          <w:rFonts w:hint="default" w:ascii="Times New Roman" w:hAnsi="Times New Roman" w:eastAsia="仿宋_GB2312" w:cs="Times New Roman"/>
          <w:i w:val="0"/>
          <w:iCs w:val="0"/>
          <w:caps w:val="0"/>
          <w:color w:val="333333"/>
          <w:spacing w:val="0"/>
          <w:sz w:val="32"/>
          <w:szCs w:val="32"/>
          <w:shd w:val="clear" w:fill="FFFFFF"/>
          <w:lang w:val="en-US" w:eastAsia="zh-CN"/>
        </w:rPr>
        <w:t>职业技能证书：学生完成相关课程学习后，可参与 CAAC 无人机操控执照考试，预计通过率 80% 以上，考试合格后由相关认证机构发放该执照。</w:t>
      </w:r>
    </w:p>
    <w:p w14:paraId="1DF4DFA9">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default" w:ascii="Times New Roman" w:hAnsi="Times New Roman" w:eastAsia="仿宋_GB2312" w:cs="Times New Roman"/>
          <w:i w:val="0"/>
          <w:iCs w:val="0"/>
          <w:caps w:val="0"/>
          <w:color w:val="333333"/>
          <w:spacing w:val="0"/>
          <w:sz w:val="32"/>
          <w:szCs w:val="32"/>
          <w:shd w:val="clear" w:fill="FFFFFF"/>
          <w:lang w:val="en-US" w:eastAsia="zh-CN"/>
        </w:rPr>
      </w:pPr>
      <w:r>
        <w:rPr>
          <w:rFonts w:hint="default" w:ascii="Times New Roman" w:hAnsi="Times New Roman" w:eastAsia="仿宋_GB2312" w:cs="Times New Roman"/>
          <w:i w:val="0"/>
          <w:iCs w:val="0"/>
          <w:caps w:val="0"/>
          <w:color w:val="333333"/>
          <w:spacing w:val="0"/>
          <w:sz w:val="32"/>
          <w:szCs w:val="32"/>
          <w:shd w:val="clear" w:fill="FFFFFF"/>
          <w:lang w:val="en-US" w:eastAsia="zh-CN"/>
        </w:rPr>
        <w:t xml:space="preserve">微专业证书：学生修满本微专业 </w:t>
      </w:r>
      <w:r>
        <w:rPr>
          <w:rFonts w:hint="eastAsia" w:ascii="Times New Roman" w:hAnsi="Times New Roman" w:eastAsia="仿宋_GB2312" w:cs="Times New Roman"/>
          <w:i w:val="0"/>
          <w:iCs w:val="0"/>
          <w:caps w:val="0"/>
          <w:color w:val="333333"/>
          <w:spacing w:val="0"/>
          <w:sz w:val="32"/>
          <w:szCs w:val="32"/>
          <w:shd w:val="clear" w:fill="FFFFFF"/>
          <w:lang w:val="en-US" w:eastAsia="zh-CN"/>
        </w:rPr>
        <w:t>18</w:t>
      </w:r>
      <w:r>
        <w:rPr>
          <w:rFonts w:hint="default" w:ascii="Times New Roman" w:hAnsi="Times New Roman" w:eastAsia="仿宋_GB2312" w:cs="Times New Roman"/>
          <w:i w:val="0"/>
          <w:iCs w:val="0"/>
          <w:caps w:val="0"/>
          <w:color w:val="333333"/>
          <w:spacing w:val="0"/>
          <w:sz w:val="32"/>
          <w:szCs w:val="32"/>
          <w:shd w:val="clear" w:fill="FFFFFF"/>
          <w:lang w:val="en-US" w:eastAsia="zh-CN"/>
        </w:rPr>
        <w:t>学分课程，经二级学院审核、教务处审定后，发放低空物流应用技术微专业证书。</w:t>
      </w:r>
    </w:p>
    <w:p w14:paraId="1AA6B213">
      <w:pPr>
        <w:pStyle w:val="4"/>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textAlignment w:val="auto"/>
      </w:pPr>
      <w:r>
        <w:t>三、报名基本条件</w:t>
      </w:r>
    </w:p>
    <w:p w14:paraId="7AF2E43F">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default" w:ascii="Times New Roman" w:hAnsi="Times New Roman" w:eastAsia="仿宋_GB2312" w:cs="Times New Roman"/>
          <w:i w:val="0"/>
          <w:iCs w:val="0"/>
          <w:caps w:val="0"/>
          <w:color w:val="333333"/>
          <w:spacing w:val="0"/>
          <w:sz w:val="32"/>
          <w:szCs w:val="32"/>
          <w:shd w:val="clear" w:fill="FFFFFF"/>
          <w:lang w:eastAsia="zh-CN"/>
        </w:rPr>
      </w:pPr>
      <w:r>
        <w:rPr>
          <w:rFonts w:hint="default" w:ascii="Times New Roman" w:hAnsi="Times New Roman" w:eastAsia="仿宋_GB2312" w:cs="Times New Roman"/>
          <w:i w:val="0"/>
          <w:iCs w:val="0"/>
          <w:caps w:val="0"/>
          <w:color w:val="333333"/>
          <w:spacing w:val="0"/>
          <w:sz w:val="32"/>
          <w:szCs w:val="32"/>
          <w:shd w:val="clear" w:fill="FFFFFF"/>
          <w:lang w:val="en-US" w:eastAsia="zh-CN"/>
        </w:rPr>
        <w:t>1.</w:t>
      </w:r>
      <w:r>
        <w:rPr>
          <w:rFonts w:hint="default" w:ascii="Times New Roman" w:hAnsi="Times New Roman" w:eastAsia="仿宋_GB2312" w:cs="Times New Roman"/>
          <w:i w:val="0"/>
          <w:iCs w:val="0"/>
          <w:caps w:val="0"/>
          <w:color w:val="333333"/>
          <w:spacing w:val="0"/>
          <w:sz w:val="32"/>
          <w:szCs w:val="32"/>
          <w:shd w:val="clear" w:fill="FFFFFF"/>
          <w:lang w:eastAsia="zh-CN"/>
        </w:rPr>
        <w:t>具有我校学籍的</w:t>
      </w:r>
      <w:r>
        <w:rPr>
          <w:rFonts w:hint="eastAsia" w:ascii="Times New Roman" w:hAnsi="Times New Roman" w:eastAsia="仿宋_GB2312" w:cs="Times New Roman"/>
          <w:i w:val="0"/>
          <w:iCs w:val="0"/>
          <w:caps w:val="0"/>
          <w:color w:val="333333"/>
          <w:spacing w:val="0"/>
          <w:sz w:val="32"/>
          <w:szCs w:val="32"/>
          <w:shd w:val="clear" w:fill="FFFFFF"/>
          <w:lang w:val="en-US" w:eastAsia="zh-CN"/>
        </w:rPr>
        <w:t>2023级</w:t>
      </w:r>
      <w:r>
        <w:rPr>
          <w:rFonts w:hint="default" w:ascii="Times New Roman" w:hAnsi="Times New Roman" w:eastAsia="仿宋_GB2312" w:cs="Times New Roman"/>
          <w:i w:val="0"/>
          <w:iCs w:val="0"/>
          <w:caps w:val="0"/>
          <w:color w:val="333333"/>
          <w:spacing w:val="0"/>
          <w:sz w:val="32"/>
          <w:szCs w:val="32"/>
          <w:shd w:val="clear" w:fill="FFFFFF"/>
          <w:lang w:eastAsia="zh-CN"/>
        </w:rPr>
        <w:t>在校生；</w:t>
      </w:r>
    </w:p>
    <w:p w14:paraId="1CE8D6E7">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default" w:ascii="Times New Roman" w:hAnsi="Times New Roman" w:eastAsia="仿宋_GB2312" w:cs="Times New Roman"/>
          <w:i w:val="0"/>
          <w:iCs w:val="0"/>
          <w:caps w:val="0"/>
          <w:color w:val="333333"/>
          <w:spacing w:val="0"/>
          <w:sz w:val="32"/>
          <w:szCs w:val="32"/>
          <w:shd w:val="clear" w:fill="FFFFFF"/>
          <w:lang w:eastAsia="zh-CN"/>
        </w:rPr>
      </w:pPr>
      <w:r>
        <w:rPr>
          <w:rFonts w:hint="default" w:ascii="Times New Roman" w:hAnsi="Times New Roman" w:eastAsia="仿宋_GB2312" w:cs="Times New Roman"/>
          <w:i w:val="0"/>
          <w:iCs w:val="0"/>
          <w:caps w:val="0"/>
          <w:color w:val="333333"/>
          <w:spacing w:val="0"/>
          <w:sz w:val="32"/>
          <w:szCs w:val="32"/>
          <w:shd w:val="clear" w:fill="FFFFFF"/>
          <w:lang w:val="en-US" w:eastAsia="zh-CN"/>
        </w:rPr>
        <w:t>2.</w:t>
      </w:r>
      <w:r>
        <w:rPr>
          <w:rFonts w:hint="default" w:ascii="Times New Roman" w:hAnsi="Times New Roman" w:eastAsia="仿宋_GB2312" w:cs="Times New Roman"/>
          <w:i w:val="0"/>
          <w:iCs w:val="0"/>
          <w:caps w:val="0"/>
          <w:color w:val="333333"/>
          <w:spacing w:val="0"/>
          <w:sz w:val="32"/>
          <w:szCs w:val="32"/>
          <w:shd w:val="clear" w:fill="FFFFFF"/>
          <w:lang w:eastAsia="zh-CN"/>
        </w:rPr>
        <w:t>所申请微专业的修读年限不可晚于主修专业预计毕业日期；</w:t>
      </w:r>
    </w:p>
    <w:p w14:paraId="4B8F9898">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Times New Roman" w:hAnsi="Times New Roman" w:eastAsia="仿宋_GB2312" w:cs="Times New Roman"/>
          <w:i w:val="0"/>
          <w:iCs w:val="0"/>
          <w:caps w:val="0"/>
          <w:color w:val="333333"/>
          <w:spacing w:val="0"/>
          <w:sz w:val="32"/>
          <w:szCs w:val="32"/>
          <w:shd w:val="clear" w:fill="FFFFFF"/>
          <w:lang w:val="en-US" w:eastAsia="zh-CN"/>
        </w:rPr>
      </w:pPr>
      <w:r>
        <w:rPr>
          <w:rFonts w:hint="default" w:ascii="Times New Roman" w:hAnsi="Times New Roman" w:eastAsia="仿宋_GB2312" w:cs="Times New Roman"/>
          <w:i w:val="0"/>
          <w:iCs w:val="0"/>
          <w:caps w:val="0"/>
          <w:color w:val="333333"/>
          <w:spacing w:val="0"/>
          <w:sz w:val="32"/>
          <w:szCs w:val="32"/>
          <w:shd w:val="clear" w:fill="FFFFFF"/>
          <w:lang w:val="en-US" w:eastAsia="zh-CN"/>
        </w:rPr>
        <w:t>3.</w:t>
      </w:r>
      <w:r>
        <w:rPr>
          <w:rFonts w:hint="default" w:ascii="Times New Roman" w:hAnsi="Times New Roman" w:eastAsia="仿宋_GB2312" w:cs="Times New Roman"/>
          <w:i w:val="0"/>
          <w:iCs w:val="0"/>
          <w:caps w:val="0"/>
          <w:color w:val="333333"/>
          <w:spacing w:val="0"/>
          <w:sz w:val="32"/>
          <w:szCs w:val="32"/>
          <w:shd w:val="clear" w:fill="FFFFFF"/>
          <w:lang w:eastAsia="zh-CN"/>
        </w:rPr>
        <w:t>同一时间段内每个学生只能申请一个微专业进行修读。</w:t>
      </w:r>
    </w:p>
    <w:p w14:paraId="169FFA80">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default" w:ascii="Times New Roman" w:hAnsi="Times New Roman" w:eastAsia="仿宋_GB2312" w:cs="Times New Roman"/>
          <w:i w:val="0"/>
          <w:iCs w:val="0"/>
          <w:caps w:val="0"/>
          <w:color w:val="333333"/>
          <w:spacing w:val="0"/>
          <w:sz w:val="32"/>
          <w:szCs w:val="32"/>
          <w:shd w:val="clear" w:fill="FFFFFF"/>
          <w:lang w:val="en-US" w:eastAsia="zh-CN"/>
        </w:rPr>
      </w:pPr>
      <w:r>
        <w:rPr>
          <w:rFonts w:hint="eastAsia" w:ascii="Times New Roman" w:hAnsi="Times New Roman" w:eastAsia="仿宋_GB2312" w:cs="Times New Roman"/>
          <w:i w:val="0"/>
          <w:iCs w:val="0"/>
          <w:caps w:val="0"/>
          <w:color w:val="333333"/>
          <w:spacing w:val="0"/>
          <w:sz w:val="32"/>
          <w:szCs w:val="32"/>
          <w:shd w:val="clear" w:fill="FFFFFF"/>
          <w:lang w:val="en-US" w:eastAsia="zh-CN"/>
        </w:rPr>
        <w:t>4.</w:t>
      </w:r>
      <w:r>
        <w:rPr>
          <w:rFonts w:hint="default" w:ascii="Times New Roman" w:hAnsi="Times New Roman" w:eastAsia="仿宋_GB2312" w:cs="Times New Roman"/>
          <w:i w:val="0"/>
          <w:iCs w:val="0"/>
          <w:caps w:val="0"/>
          <w:color w:val="333333"/>
          <w:spacing w:val="0"/>
          <w:sz w:val="32"/>
          <w:szCs w:val="32"/>
          <w:shd w:val="clear" w:fill="FFFFFF"/>
          <w:lang w:val="en-US" w:eastAsia="zh-CN"/>
        </w:rPr>
        <w:t>学生对低空物流、无人机应用等领域有浓厚兴趣，具备较强的学习能力、实践操作能力和自我驱动力，能适应低空物流行业技术快速迭代的需求。</w:t>
      </w:r>
    </w:p>
    <w:p w14:paraId="275B42C8">
      <w:pPr>
        <w:pStyle w:val="4"/>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textAlignment w:val="auto"/>
      </w:pPr>
      <w:r>
        <w:t>四、报名程序</w:t>
      </w:r>
    </w:p>
    <w:p w14:paraId="63C81B02">
      <w:pPr>
        <w:pStyle w:val="5"/>
        <w:keepNext w:val="0"/>
        <w:keepLines w:val="0"/>
        <w:pageBreakBefore w:val="0"/>
        <w:widowControl/>
        <w:kinsoku/>
        <w:wordWrap/>
        <w:overflowPunct/>
        <w:topLinePunct w:val="0"/>
        <w:autoSpaceDE/>
        <w:autoSpaceDN/>
        <w:bidi w:val="0"/>
        <w:adjustRightInd/>
        <w:snapToGrid/>
        <w:spacing w:before="0" w:after="0" w:line="560" w:lineRule="exact"/>
        <w:ind w:left="0" w:leftChars="0" w:firstLine="640" w:firstLineChars="200"/>
        <w:textAlignment w:val="auto"/>
        <w:rPr>
          <w:rFonts w:hint="default" w:ascii="Times New Roman" w:hAnsi="Times New Roman" w:eastAsia="仿宋_GB2312" w:cs="Times New Roman"/>
          <w:b w:val="0"/>
          <w:bCs w:val="0"/>
          <w:i w:val="0"/>
          <w:iCs w:val="0"/>
          <w:caps w:val="0"/>
          <w:color w:val="333333"/>
          <w:spacing w:val="0"/>
          <w:kern w:val="0"/>
          <w:sz w:val="32"/>
          <w:szCs w:val="32"/>
          <w:shd w:val="clear" w:fill="FFFFFF"/>
          <w:lang w:val="en-US" w:eastAsia="zh-CN" w:bidi="ar"/>
        </w:rPr>
      </w:pPr>
      <w:r>
        <w:rPr>
          <w:rFonts w:hint="default" w:ascii="Times New Roman" w:hAnsi="Times New Roman" w:eastAsia="仿宋_GB2312" w:cs="Times New Roman"/>
          <w:b w:val="0"/>
          <w:bCs w:val="0"/>
          <w:i w:val="0"/>
          <w:iCs w:val="0"/>
          <w:caps w:val="0"/>
          <w:color w:val="333333"/>
          <w:spacing w:val="0"/>
          <w:kern w:val="0"/>
          <w:sz w:val="32"/>
          <w:szCs w:val="32"/>
          <w:shd w:val="clear" w:fill="FFFFFF"/>
          <w:lang w:val="en-US" w:eastAsia="zh-CN" w:bidi="ar"/>
        </w:rPr>
        <w:t>（一）报名时间</w:t>
      </w:r>
      <w:r>
        <w:rPr>
          <w:rFonts w:hint="eastAsia" w:ascii="Times New Roman" w:hAnsi="Times New Roman" w:eastAsia="仿宋_GB2312" w:cs="Times New Roman"/>
          <w:b w:val="0"/>
          <w:bCs w:val="0"/>
          <w:i w:val="0"/>
          <w:iCs w:val="0"/>
          <w:caps w:val="0"/>
          <w:color w:val="333333"/>
          <w:spacing w:val="0"/>
          <w:kern w:val="0"/>
          <w:sz w:val="32"/>
          <w:szCs w:val="32"/>
          <w:shd w:val="clear" w:fill="FFFFFF"/>
          <w:lang w:val="en-US" w:eastAsia="zh-CN" w:bidi="ar"/>
        </w:rPr>
        <w:t>及报名方式</w:t>
      </w:r>
    </w:p>
    <w:p w14:paraId="76111FD8">
      <w:pPr>
        <w:pStyle w:val="18"/>
        <w:keepNext w:val="0"/>
        <w:keepLines w:val="0"/>
        <w:pageBreakBefore w:val="0"/>
        <w:widowControl/>
        <w:kinsoku/>
        <w:wordWrap/>
        <w:overflowPunct/>
        <w:topLinePunct w:val="0"/>
        <w:autoSpaceDE/>
        <w:autoSpaceDN/>
        <w:bidi w:val="0"/>
        <w:adjustRightInd/>
        <w:snapToGrid/>
        <w:spacing w:before="0" w:after="0" w:line="560" w:lineRule="exact"/>
        <w:ind w:left="0" w:leftChars="0" w:firstLine="640" w:firstLineChars="200"/>
        <w:textAlignment w:val="auto"/>
        <w:rPr>
          <w:rFonts w:hint="default" w:ascii="Times New Roman" w:hAnsi="Times New Roman" w:eastAsia="仿宋_GB2312" w:cs="Times New Roman"/>
          <w:b w:val="0"/>
          <w:bCs w:val="0"/>
          <w:i w:val="0"/>
          <w:iCs w:val="0"/>
          <w:caps w:val="0"/>
          <w:color w:val="333333"/>
          <w:spacing w:val="0"/>
          <w:kern w:val="0"/>
          <w:sz w:val="32"/>
          <w:szCs w:val="32"/>
          <w:shd w:val="clear" w:fill="FFFFFF"/>
          <w:lang w:val="en-US" w:eastAsia="zh-CN" w:bidi="ar"/>
        </w:rPr>
      </w:pPr>
      <w:r>
        <w:rPr>
          <w:rFonts w:hint="eastAsia" w:ascii="仿宋_GB2312" w:hAnsi="仿宋_GB2312" w:eastAsia="仿宋_GB2312" w:cs="仿宋_GB2312"/>
          <w:i w:val="0"/>
          <w:iCs w:val="0"/>
          <w:caps w:val="0"/>
          <w:color w:val="333333"/>
          <w:spacing w:val="0"/>
          <w:sz w:val="32"/>
          <w:szCs w:val="32"/>
          <w:shd w:val="clear" w:fill="FFFFFF"/>
          <w:lang w:val="en-US" w:eastAsia="zh-CN"/>
        </w:rPr>
        <w:t>请</w:t>
      </w:r>
      <w:r>
        <w:rPr>
          <w:rFonts w:hint="eastAsia" w:ascii="仿宋_GB2312" w:hAnsi="仿宋_GB2312" w:eastAsia="仿宋_GB2312" w:cs="仿宋_GB2312"/>
          <w:i w:val="0"/>
          <w:iCs w:val="0"/>
          <w:caps w:val="0"/>
          <w:color w:val="333333"/>
          <w:spacing w:val="0"/>
          <w:sz w:val="32"/>
          <w:szCs w:val="32"/>
          <w:shd w:val="clear" w:fill="FFFFFF"/>
          <w:lang w:eastAsia="zh-CN"/>
        </w:rPr>
        <w:t>报名</w:t>
      </w:r>
      <w:r>
        <w:rPr>
          <w:rFonts w:hint="eastAsia" w:ascii="仿宋_GB2312" w:hAnsi="仿宋_GB2312" w:eastAsia="仿宋_GB2312" w:cs="仿宋_GB2312"/>
          <w:i w:val="0"/>
          <w:iCs w:val="0"/>
          <w:caps w:val="0"/>
          <w:color w:val="333333"/>
          <w:spacing w:val="0"/>
          <w:sz w:val="32"/>
          <w:szCs w:val="32"/>
          <w:shd w:val="clear" w:fill="FFFFFF"/>
          <w:lang w:val="en-US" w:eastAsia="zh-CN"/>
        </w:rPr>
        <w:t>的</w:t>
      </w:r>
      <w:r>
        <w:rPr>
          <w:rFonts w:hint="eastAsia" w:ascii="仿宋_GB2312" w:hAnsi="仿宋_GB2312" w:eastAsia="仿宋_GB2312" w:cs="仿宋_GB2312"/>
          <w:i w:val="0"/>
          <w:iCs w:val="0"/>
          <w:caps w:val="0"/>
          <w:color w:val="333333"/>
          <w:spacing w:val="0"/>
          <w:sz w:val="32"/>
          <w:szCs w:val="32"/>
          <w:shd w:val="clear" w:fill="FFFFFF"/>
          <w:lang w:eastAsia="zh-CN"/>
        </w:rPr>
        <w:t>学生填</w:t>
      </w:r>
      <w:r>
        <w:rPr>
          <w:rFonts w:hint="eastAsia" w:ascii="仿宋_GB2312" w:hAnsi="仿宋_GB2312" w:eastAsia="仿宋_GB2312" w:cs="仿宋_GB2312"/>
          <w:i w:val="0"/>
          <w:iCs w:val="0"/>
          <w:caps w:val="0"/>
          <w:color w:val="333333"/>
          <w:spacing w:val="0"/>
          <w:sz w:val="32"/>
          <w:szCs w:val="32"/>
          <w:shd w:val="clear" w:fill="FFFFFF"/>
          <w:lang w:val="en-US" w:eastAsia="zh-CN"/>
        </w:rPr>
        <w:t>写</w:t>
      </w:r>
      <w:r>
        <w:rPr>
          <w:rFonts w:hint="eastAsia" w:ascii="仿宋_GB2312" w:hAnsi="仿宋_GB2312" w:eastAsia="仿宋_GB2312" w:cs="仿宋_GB2312"/>
          <w:i w:val="0"/>
          <w:iCs w:val="0"/>
          <w:caps w:val="0"/>
          <w:color w:val="333333"/>
          <w:spacing w:val="0"/>
          <w:sz w:val="32"/>
          <w:szCs w:val="32"/>
          <w:shd w:val="clear" w:fill="FFFFFF"/>
          <w:lang w:eastAsia="zh-CN"/>
        </w:rPr>
        <w:t>《</w:t>
      </w:r>
      <w:r>
        <w:rPr>
          <w:rFonts w:hint="eastAsia" w:ascii="仿宋_GB2312" w:hAnsi="仿宋_GB2312" w:eastAsia="仿宋_GB2312" w:cs="仿宋_GB2312"/>
          <w:i w:val="0"/>
          <w:iCs w:val="0"/>
          <w:caps w:val="0"/>
          <w:color w:val="333333"/>
          <w:spacing w:val="0"/>
          <w:sz w:val="32"/>
          <w:szCs w:val="32"/>
          <w:shd w:val="clear" w:fill="FFFFFF"/>
          <w:lang w:val="en-US" w:eastAsia="zh-CN"/>
        </w:rPr>
        <w:t>天津滨海职业学院</w:t>
      </w:r>
      <w:r>
        <w:rPr>
          <w:rFonts w:hint="eastAsia" w:ascii="仿宋_GB2312" w:hAnsi="仿宋_GB2312" w:eastAsia="仿宋_GB2312" w:cs="仿宋_GB2312"/>
          <w:i w:val="0"/>
          <w:iCs w:val="0"/>
          <w:caps w:val="0"/>
          <w:color w:val="333333"/>
          <w:spacing w:val="0"/>
          <w:sz w:val="32"/>
          <w:szCs w:val="32"/>
          <w:shd w:val="clear" w:fill="FFFFFF"/>
          <w:lang w:eastAsia="zh-CN"/>
        </w:rPr>
        <w:t>微专业</w:t>
      </w:r>
      <w:r>
        <w:rPr>
          <w:rFonts w:hint="eastAsia" w:ascii="仿宋_GB2312" w:hAnsi="仿宋_GB2312" w:eastAsia="仿宋_GB2312" w:cs="仿宋_GB2312"/>
          <w:i w:val="0"/>
          <w:iCs w:val="0"/>
          <w:caps w:val="0"/>
          <w:color w:val="333333"/>
          <w:spacing w:val="0"/>
          <w:sz w:val="32"/>
          <w:szCs w:val="32"/>
          <w:shd w:val="clear" w:fill="FFFFFF"/>
          <w:lang w:val="en-US" w:eastAsia="zh-CN"/>
        </w:rPr>
        <w:t>报名</w:t>
      </w:r>
      <w:r>
        <w:rPr>
          <w:rFonts w:hint="eastAsia" w:ascii="仿宋_GB2312" w:hAnsi="仿宋_GB2312" w:eastAsia="仿宋_GB2312" w:cs="仿宋_GB2312"/>
          <w:i w:val="0"/>
          <w:iCs w:val="0"/>
          <w:caps w:val="0"/>
          <w:color w:val="333333"/>
          <w:spacing w:val="0"/>
          <w:sz w:val="32"/>
          <w:szCs w:val="32"/>
          <w:shd w:val="clear" w:fill="FFFFFF"/>
          <w:lang w:eastAsia="zh-CN"/>
        </w:rPr>
        <w:t>表》，</w:t>
      </w:r>
      <w:r>
        <w:rPr>
          <w:rFonts w:hint="eastAsia" w:ascii="仿宋_GB2312" w:hAnsi="仿宋_GB2312" w:eastAsia="仿宋_GB2312" w:cs="仿宋_GB2312"/>
          <w:b/>
          <w:bCs/>
          <w:i w:val="0"/>
          <w:iCs w:val="0"/>
          <w:caps w:val="0"/>
          <w:color w:val="FF0000"/>
          <w:spacing w:val="0"/>
          <w:sz w:val="32"/>
          <w:szCs w:val="32"/>
          <w:shd w:val="clear" w:fill="FFFFFF"/>
          <w:lang w:val="en-US" w:eastAsia="zh-CN"/>
        </w:rPr>
        <w:t>11月10日前</w:t>
      </w:r>
      <w:r>
        <w:rPr>
          <w:rFonts w:hint="eastAsia" w:ascii="仿宋_GB2312" w:hAnsi="宋体" w:eastAsia="仿宋_GB2312" w:cs="仿宋_GB2312"/>
          <w:color w:val="000000"/>
          <w:kern w:val="0"/>
          <w:sz w:val="32"/>
          <w:szCs w:val="32"/>
          <w:lang w:val="en-US" w:eastAsia="zh-CN" w:bidi="ar"/>
        </w:rPr>
        <w:t>将报名表及相关证明材料发送至邮箱</w:t>
      </w:r>
      <w:r>
        <w:rPr>
          <w:rFonts w:hint="eastAsia" w:ascii="仿宋_GB2312" w:hAnsi="宋体" w:eastAsia="仿宋_GB2312" w:cs="仿宋_GB2312"/>
          <w:color w:val="000000"/>
          <w:kern w:val="0"/>
          <w:sz w:val="32"/>
          <w:szCs w:val="32"/>
          <w:lang w:val="en-US" w:eastAsia="zh-CN" w:bidi="ar"/>
        </w:rPr>
        <w:fldChar w:fldCharType="begin"/>
      </w:r>
      <w:r>
        <w:rPr>
          <w:rFonts w:hint="eastAsia" w:ascii="仿宋_GB2312" w:hAnsi="宋体" w:eastAsia="仿宋_GB2312" w:cs="仿宋_GB2312"/>
          <w:color w:val="000000"/>
          <w:kern w:val="0"/>
          <w:sz w:val="32"/>
          <w:szCs w:val="32"/>
          <w:lang w:val="en-US" w:eastAsia="zh-CN" w:bidi="ar"/>
        </w:rPr>
        <w:instrText xml:space="preserve"> HYPERLINK "mailto:13821646587@163.com" </w:instrText>
      </w:r>
      <w:r>
        <w:rPr>
          <w:rFonts w:hint="eastAsia" w:ascii="仿宋_GB2312" w:hAnsi="宋体" w:eastAsia="仿宋_GB2312" w:cs="仿宋_GB2312"/>
          <w:color w:val="000000"/>
          <w:kern w:val="0"/>
          <w:sz w:val="32"/>
          <w:szCs w:val="32"/>
          <w:lang w:val="en-US" w:eastAsia="zh-CN" w:bidi="ar"/>
        </w:rPr>
        <w:fldChar w:fldCharType="separate"/>
      </w:r>
      <w:r>
        <w:rPr>
          <w:rStyle w:val="14"/>
          <w:rFonts w:hint="eastAsia" w:ascii="仿宋_GB2312" w:hAnsi="宋体" w:eastAsia="仿宋_GB2312" w:cs="仿宋_GB2312"/>
          <w:kern w:val="0"/>
          <w:sz w:val="32"/>
          <w:szCs w:val="32"/>
          <w:lang w:val="en-US" w:eastAsia="zh-CN" w:bidi="ar"/>
        </w:rPr>
        <w:t>13821646587@163.com</w:t>
      </w:r>
      <w:r>
        <w:rPr>
          <w:rFonts w:hint="eastAsia" w:ascii="仿宋_GB2312" w:hAnsi="宋体" w:eastAsia="仿宋_GB2312" w:cs="仿宋_GB2312"/>
          <w:color w:val="000000"/>
          <w:kern w:val="0"/>
          <w:sz w:val="32"/>
          <w:szCs w:val="32"/>
          <w:lang w:val="en-US" w:eastAsia="zh-CN" w:bidi="ar"/>
        </w:rPr>
        <w:fldChar w:fldCharType="end"/>
      </w:r>
      <w:r>
        <w:rPr>
          <w:rFonts w:hint="eastAsia" w:ascii="仿宋_GB2312" w:hAnsi="宋体" w:eastAsia="仿宋_GB2312" w:cs="仿宋_GB2312"/>
          <w:color w:val="000000"/>
          <w:kern w:val="0"/>
          <w:sz w:val="32"/>
          <w:szCs w:val="32"/>
          <w:lang w:val="en-US" w:eastAsia="zh-CN" w:bidi="ar"/>
        </w:rPr>
        <w:t xml:space="preserve"> ，</w:t>
      </w:r>
      <w:r>
        <w:rPr>
          <w:rFonts w:hint="eastAsia" w:ascii="仿宋_GB2312" w:hAnsi="仿宋_GB2312" w:eastAsia="仿宋_GB2312" w:cs="仿宋_GB2312"/>
          <w:i w:val="0"/>
          <w:iCs w:val="0"/>
          <w:caps w:val="0"/>
          <w:color w:val="333333"/>
          <w:spacing w:val="0"/>
          <w:sz w:val="32"/>
          <w:szCs w:val="32"/>
          <w:shd w:val="clear" w:fill="FFFFFF"/>
          <w:lang w:eastAsia="zh-CN"/>
        </w:rPr>
        <w:t>报送</w:t>
      </w:r>
      <w:r>
        <w:rPr>
          <w:rFonts w:hint="eastAsia" w:ascii="仿宋_GB2312" w:hAnsi="仿宋_GB2312" w:eastAsia="仿宋_GB2312" w:cs="仿宋_GB2312"/>
          <w:i w:val="0"/>
          <w:iCs w:val="0"/>
          <w:caps w:val="0"/>
          <w:color w:val="333333"/>
          <w:spacing w:val="0"/>
          <w:sz w:val="32"/>
          <w:szCs w:val="32"/>
          <w:shd w:val="clear" w:fill="FFFFFF"/>
          <w:lang w:val="en-US" w:eastAsia="zh-CN"/>
        </w:rPr>
        <w:t>商贸物流</w:t>
      </w:r>
      <w:r>
        <w:rPr>
          <w:rFonts w:hint="eastAsia" w:ascii="仿宋_GB2312" w:hAnsi="仿宋_GB2312" w:eastAsia="仿宋_GB2312" w:cs="仿宋_GB2312"/>
          <w:i w:val="0"/>
          <w:iCs w:val="0"/>
          <w:caps w:val="0"/>
          <w:color w:val="333333"/>
          <w:spacing w:val="0"/>
          <w:sz w:val="32"/>
          <w:szCs w:val="32"/>
          <w:shd w:val="clear" w:fill="FFFFFF"/>
          <w:lang w:eastAsia="zh-CN"/>
        </w:rPr>
        <w:t>学院审核。</w:t>
      </w:r>
    </w:p>
    <w:p w14:paraId="624080C6">
      <w:pPr>
        <w:pStyle w:val="5"/>
        <w:keepNext w:val="0"/>
        <w:keepLines w:val="0"/>
        <w:pageBreakBefore w:val="0"/>
        <w:widowControl/>
        <w:kinsoku/>
        <w:wordWrap/>
        <w:overflowPunct/>
        <w:topLinePunct w:val="0"/>
        <w:autoSpaceDE/>
        <w:autoSpaceDN/>
        <w:bidi w:val="0"/>
        <w:adjustRightInd/>
        <w:snapToGrid/>
        <w:spacing w:before="0" w:after="0" w:line="560" w:lineRule="exact"/>
        <w:ind w:left="0" w:leftChars="0" w:firstLine="640" w:firstLineChars="200"/>
        <w:textAlignment w:val="auto"/>
        <w:rPr>
          <w:rFonts w:hint="default" w:ascii="Times New Roman" w:hAnsi="Times New Roman" w:eastAsia="仿宋_GB2312" w:cs="Times New Roman"/>
          <w:b w:val="0"/>
          <w:bCs w:val="0"/>
          <w:i w:val="0"/>
          <w:iCs w:val="0"/>
          <w:caps w:val="0"/>
          <w:color w:val="333333"/>
          <w:spacing w:val="0"/>
          <w:kern w:val="0"/>
          <w:sz w:val="32"/>
          <w:szCs w:val="32"/>
          <w:shd w:val="clear" w:fill="FFFFFF"/>
          <w:lang w:val="en-US" w:eastAsia="zh-CN" w:bidi="ar"/>
        </w:rPr>
      </w:pPr>
      <w:r>
        <w:rPr>
          <w:rFonts w:hint="default" w:ascii="Times New Roman" w:hAnsi="Times New Roman" w:eastAsia="仿宋_GB2312" w:cs="Times New Roman"/>
          <w:b w:val="0"/>
          <w:bCs w:val="0"/>
          <w:i w:val="0"/>
          <w:iCs w:val="0"/>
          <w:caps w:val="0"/>
          <w:color w:val="333333"/>
          <w:spacing w:val="0"/>
          <w:kern w:val="0"/>
          <w:sz w:val="32"/>
          <w:szCs w:val="32"/>
          <w:shd w:val="clear" w:fill="FFFFFF"/>
          <w:lang w:val="en-US" w:eastAsia="zh-CN" w:bidi="ar"/>
        </w:rPr>
        <w:t>（</w:t>
      </w:r>
      <w:r>
        <w:rPr>
          <w:rFonts w:hint="eastAsia" w:ascii="Times New Roman" w:hAnsi="Times New Roman" w:eastAsia="仿宋_GB2312" w:cs="Times New Roman"/>
          <w:b w:val="0"/>
          <w:bCs w:val="0"/>
          <w:i w:val="0"/>
          <w:iCs w:val="0"/>
          <w:caps w:val="0"/>
          <w:color w:val="333333"/>
          <w:spacing w:val="0"/>
          <w:kern w:val="0"/>
          <w:sz w:val="32"/>
          <w:szCs w:val="32"/>
          <w:shd w:val="clear" w:fill="FFFFFF"/>
          <w:lang w:val="en-US" w:eastAsia="zh-CN" w:bidi="ar"/>
        </w:rPr>
        <w:t>二</w:t>
      </w:r>
      <w:r>
        <w:rPr>
          <w:rFonts w:hint="default" w:ascii="Times New Roman" w:hAnsi="Times New Roman" w:eastAsia="仿宋_GB2312" w:cs="Times New Roman"/>
          <w:b w:val="0"/>
          <w:bCs w:val="0"/>
          <w:i w:val="0"/>
          <w:iCs w:val="0"/>
          <w:caps w:val="0"/>
          <w:color w:val="333333"/>
          <w:spacing w:val="0"/>
          <w:kern w:val="0"/>
          <w:sz w:val="32"/>
          <w:szCs w:val="32"/>
          <w:shd w:val="clear" w:fill="FFFFFF"/>
          <w:lang w:val="en-US" w:eastAsia="zh-CN" w:bidi="ar"/>
        </w:rPr>
        <w:t>）选拔方式</w:t>
      </w:r>
    </w:p>
    <w:p w14:paraId="2FBE9028">
      <w:pPr>
        <w:pStyle w:val="18"/>
        <w:keepNext w:val="0"/>
        <w:keepLines w:val="0"/>
        <w:pageBreakBefore w:val="0"/>
        <w:widowControl/>
        <w:kinsoku/>
        <w:wordWrap/>
        <w:overflowPunct/>
        <w:topLinePunct w:val="0"/>
        <w:autoSpaceDE/>
        <w:autoSpaceDN/>
        <w:bidi w:val="0"/>
        <w:adjustRightInd/>
        <w:snapToGrid/>
        <w:spacing w:before="0" w:after="0" w:line="560" w:lineRule="exact"/>
        <w:ind w:left="0" w:leftChars="0" w:firstLine="640" w:firstLineChars="200"/>
        <w:textAlignment w:val="auto"/>
        <w:rPr>
          <w:rFonts w:hint="default" w:ascii="Times New Roman" w:hAnsi="Times New Roman" w:eastAsia="仿宋_GB2312" w:cs="Times New Roman"/>
          <w:b w:val="0"/>
          <w:bCs w:val="0"/>
          <w:i w:val="0"/>
          <w:iCs w:val="0"/>
          <w:caps w:val="0"/>
          <w:color w:val="333333"/>
          <w:spacing w:val="0"/>
          <w:kern w:val="0"/>
          <w:sz w:val="32"/>
          <w:szCs w:val="32"/>
          <w:shd w:val="clear" w:fill="FFFFFF"/>
          <w:lang w:val="en-US" w:eastAsia="zh-CN" w:bidi="ar"/>
        </w:rPr>
      </w:pPr>
      <w:r>
        <w:rPr>
          <w:rFonts w:hint="eastAsia" w:ascii="Times New Roman" w:hAnsi="Times New Roman" w:eastAsia="仿宋_GB2312" w:cs="Times New Roman"/>
          <w:b w:val="0"/>
          <w:bCs w:val="0"/>
          <w:i w:val="0"/>
          <w:iCs w:val="0"/>
          <w:caps w:val="0"/>
          <w:color w:val="333333"/>
          <w:spacing w:val="0"/>
          <w:kern w:val="0"/>
          <w:sz w:val="32"/>
          <w:szCs w:val="32"/>
          <w:shd w:val="clear" w:fill="FFFFFF"/>
          <w:lang w:val="en-US" w:eastAsia="zh-CN" w:bidi="ar"/>
        </w:rPr>
        <w:t>商贸物流学院</w:t>
      </w:r>
      <w:r>
        <w:rPr>
          <w:rFonts w:hint="default" w:ascii="Times New Roman" w:hAnsi="Times New Roman" w:eastAsia="仿宋_GB2312" w:cs="Times New Roman"/>
          <w:b w:val="0"/>
          <w:bCs w:val="0"/>
          <w:i w:val="0"/>
          <w:iCs w:val="0"/>
          <w:caps w:val="0"/>
          <w:color w:val="333333"/>
          <w:spacing w:val="0"/>
          <w:kern w:val="0"/>
          <w:sz w:val="32"/>
          <w:szCs w:val="32"/>
          <w:shd w:val="clear" w:fill="FFFFFF"/>
          <w:lang w:val="en-US" w:eastAsia="zh-CN" w:bidi="ar"/>
        </w:rPr>
        <w:t>组织智能物流技术专业负责人鲁艳萍及骨干教师审核学生报名材料，选拔</w:t>
      </w:r>
      <w:r>
        <w:rPr>
          <w:rFonts w:hint="eastAsia" w:ascii="Times New Roman" w:hAnsi="Times New Roman" w:eastAsia="仿宋_GB2312" w:cs="Times New Roman"/>
          <w:b w:val="0"/>
          <w:bCs w:val="0"/>
          <w:i w:val="0"/>
          <w:iCs w:val="0"/>
          <w:caps w:val="0"/>
          <w:color w:val="333333"/>
          <w:spacing w:val="0"/>
          <w:kern w:val="0"/>
          <w:sz w:val="32"/>
          <w:szCs w:val="32"/>
          <w:shd w:val="clear" w:fill="FFFFFF"/>
          <w:lang w:val="en-US" w:eastAsia="zh-CN" w:bidi="ar"/>
        </w:rPr>
        <w:t>符合报名条件</w:t>
      </w:r>
      <w:r>
        <w:rPr>
          <w:rFonts w:hint="default" w:ascii="Times New Roman" w:hAnsi="Times New Roman" w:eastAsia="仿宋_GB2312" w:cs="Times New Roman"/>
          <w:b w:val="0"/>
          <w:bCs w:val="0"/>
          <w:i w:val="0"/>
          <w:iCs w:val="0"/>
          <w:caps w:val="0"/>
          <w:color w:val="333333"/>
          <w:spacing w:val="0"/>
          <w:kern w:val="0"/>
          <w:sz w:val="32"/>
          <w:szCs w:val="32"/>
          <w:shd w:val="clear" w:fill="FFFFFF"/>
          <w:lang w:val="en-US" w:eastAsia="zh-CN" w:bidi="ar"/>
        </w:rPr>
        <w:t>的学生</w:t>
      </w:r>
      <w:r>
        <w:rPr>
          <w:rFonts w:hint="eastAsia" w:ascii="Times New Roman" w:hAnsi="Times New Roman" w:eastAsia="仿宋_GB2312" w:cs="Times New Roman"/>
          <w:b w:val="0"/>
          <w:bCs w:val="0"/>
          <w:i w:val="0"/>
          <w:iCs w:val="0"/>
          <w:caps w:val="0"/>
          <w:color w:val="333333"/>
          <w:spacing w:val="0"/>
          <w:kern w:val="0"/>
          <w:sz w:val="32"/>
          <w:szCs w:val="32"/>
          <w:shd w:val="clear" w:fill="FFFFFF"/>
          <w:lang w:val="en-US" w:eastAsia="zh-CN" w:bidi="ar"/>
        </w:rPr>
        <w:t>，</w:t>
      </w:r>
      <w:r>
        <w:rPr>
          <w:rFonts w:hint="default" w:ascii="Times New Roman" w:hAnsi="Times New Roman" w:eastAsia="仿宋_GB2312" w:cs="Times New Roman"/>
          <w:b w:val="0"/>
          <w:bCs w:val="0"/>
          <w:i w:val="0"/>
          <w:iCs w:val="0"/>
          <w:caps w:val="0"/>
          <w:color w:val="333333"/>
          <w:spacing w:val="0"/>
          <w:kern w:val="0"/>
          <w:sz w:val="32"/>
          <w:szCs w:val="32"/>
          <w:shd w:val="clear" w:fill="FFFFFF"/>
          <w:lang w:val="en-US" w:eastAsia="zh-CN" w:bidi="ar"/>
        </w:rPr>
        <w:t>录取</w:t>
      </w:r>
      <w:r>
        <w:rPr>
          <w:rFonts w:hint="eastAsia" w:ascii="Times New Roman" w:hAnsi="Times New Roman" w:eastAsia="仿宋_GB2312" w:cs="Times New Roman"/>
          <w:b w:val="0"/>
          <w:bCs w:val="0"/>
          <w:i w:val="0"/>
          <w:iCs w:val="0"/>
          <w:caps w:val="0"/>
          <w:color w:val="333333"/>
          <w:spacing w:val="0"/>
          <w:kern w:val="0"/>
          <w:sz w:val="32"/>
          <w:szCs w:val="32"/>
          <w:shd w:val="clear" w:fill="FFFFFF"/>
          <w:lang w:val="en-US" w:eastAsia="zh-CN" w:bidi="ar"/>
        </w:rPr>
        <w:t>并报送教务处</w:t>
      </w:r>
      <w:r>
        <w:rPr>
          <w:rFonts w:hint="default" w:ascii="Times New Roman" w:hAnsi="Times New Roman" w:eastAsia="仿宋_GB2312" w:cs="Times New Roman"/>
          <w:b w:val="0"/>
          <w:bCs w:val="0"/>
          <w:i w:val="0"/>
          <w:iCs w:val="0"/>
          <w:caps w:val="0"/>
          <w:color w:val="333333"/>
          <w:spacing w:val="0"/>
          <w:kern w:val="0"/>
          <w:sz w:val="32"/>
          <w:szCs w:val="32"/>
          <w:shd w:val="clear" w:fill="FFFFFF"/>
          <w:lang w:val="en-US" w:eastAsia="zh-CN" w:bidi="ar"/>
        </w:rPr>
        <w:t>。</w:t>
      </w:r>
      <w:r>
        <w:rPr>
          <w:rFonts w:hint="eastAsia" w:ascii="Times New Roman" w:hAnsi="Times New Roman" w:eastAsia="仿宋_GB2312" w:cs="Times New Roman"/>
          <w:b w:val="0"/>
          <w:bCs w:val="0"/>
          <w:i w:val="0"/>
          <w:iCs w:val="0"/>
          <w:caps w:val="0"/>
          <w:color w:val="333333"/>
          <w:spacing w:val="0"/>
          <w:kern w:val="0"/>
          <w:sz w:val="32"/>
          <w:szCs w:val="32"/>
          <w:shd w:val="clear" w:fill="FFFFFF"/>
          <w:lang w:val="en-US" w:eastAsia="zh-CN" w:bidi="ar"/>
        </w:rPr>
        <w:t>录取</w:t>
      </w:r>
      <w:r>
        <w:rPr>
          <w:rFonts w:hint="eastAsia" w:ascii="仿宋_GB2312" w:hAnsi="仿宋_GB2312" w:eastAsia="仿宋_GB2312" w:cs="仿宋_GB2312"/>
          <w:i w:val="0"/>
          <w:iCs w:val="0"/>
          <w:caps w:val="0"/>
          <w:color w:val="333333"/>
          <w:spacing w:val="0"/>
          <w:sz w:val="32"/>
          <w:szCs w:val="32"/>
          <w:shd w:val="clear" w:fill="FFFFFF"/>
          <w:lang w:val="en-US" w:eastAsia="zh-CN"/>
        </w:rPr>
        <w:t>名单将于2025年11月17日</w:t>
      </w:r>
      <w:r>
        <w:rPr>
          <w:rFonts w:hint="eastAsia" w:ascii="仿宋_GB2312" w:hAnsi="仿宋_GB2312" w:eastAsia="仿宋_GB2312" w:cs="仿宋_GB2312"/>
          <w:sz w:val="32"/>
          <w:szCs w:val="32"/>
        </w:rPr>
        <w:t>～</w:t>
      </w:r>
      <w:r>
        <w:rPr>
          <w:rFonts w:hint="eastAsia" w:ascii="仿宋_GB2312" w:hAnsi="仿宋_GB2312" w:eastAsia="仿宋_GB2312" w:cs="仿宋_GB2312"/>
          <w:i w:val="0"/>
          <w:iCs w:val="0"/>
          <w:caps w:val="0"/>
          <w:color w:val="333333"/>
          <w:spacing w:val="0"/>
          <w:sz w:val="32"/>
          <w:szCs w:val="32"/>
          <w:shd w:val="clear" w:fill="FFFFFF"/>
          <w:lang w:val="en-US" w:eastAsia="zh-CN"/>
        </w:rPr>
        <w:t>11月19日在教务处主页进行公示。</w:t>
      </w:r>
    </w:p>
    <w:p w14:paraId="3F497198">
      <w:pPr>
        <w:pStyle w:val="5"/>
        <w:keepNext w:val="0"/>
        <w:keepLines w:val="0"/>
        <w:pageBreakBefore w:val="0"/>
        <w:widowControl/>
        <w:kinsoku/>
        <w:wordWrap/>
        <w:overflowPunct/>
        <w:topLinePunct w:val="0"/>
        <w:autoSpaceDE/>
        <w:autoSpaceDN/>
        <w:bidi w:val="0"/>
        <w:adjustRightInd/>
        <w:snapToGrid/>
        <w:spacing w:before="0" w:after="0" w:line="560" w:lineRule="exact"/>
        <w:ind w:left="0" w:leftChars="0" w:firstLine="640" w:firstLineChars="200"/>
        <w:textAlignment w:val="auto"/>
        <w:rPr>
          <w:rFonts w:hint="default" w:ascii="Times New Roman" w:hAnsi="Times New Roman" w:eastAsia="仿宋_GB2312" w:cs="Times New Roman"/>
          <w:b w:val="0"/>
          <w:bCs w:val="0"/>
          <w:i w:val="0"/>
          <w:iCs w:val="0"/>
          <w:caps w:val="0"/>
          <w:color w:val="333333"/>
          <w:spacing w:val="0"/>
          <w:kern w:val="0"/>
          <w:sz w:val="32"/>
          <w:szCs w:val="32"/>
          <w:shd w:val="clear" w:fill="FFFFFF"/>
          <w:lang w:val="en-US" w:eastAsia="zh-CN" w:bidi="ar"/>
        </w:rPr>
      </w:pPr>
      <w:r>
        <w:rPr>
          <w:rFonts w:hint="default" w:ascii="Times New Roman" w:hAnsi="Times New Roman" w:eastAsia="仿宋_GB2312" w:cs="Times New Roman"/>
          <w:b w:val="0"/>
          <w:bCs w:val="0"/>
          <w:i w:val="0"/>
          <w:iCs w:val="0"/>
          <w:caps w:val="0"/>
          <w:color w:val="333333"/>
          <w:spacing w:val="0"/>
          <w:kern w:val="0"/>
          <w:sz w:val="32"/>
          <w:szCs w:val="32"/>
          <w:shd w:val="clear" w:fill="FFFFFF"/>
          <w:lang w:val="en-US" w:eastAsia="zh-CN" w:bidi="ar"/>
        </w:rPr>
        <w:t>（</w:t>
      </w:r>
      <w:r>
        <w:rPr>
          <w:rFonts w:hint="eastAsia" w:ascii="Times New Roman" w:hAnsi="Times New Roman" w:eastAsia="仿宋_GB2312" w:cs="Times New Roman"/>
          <w:b w:val="0"/>
          <w:bCs w:val="0"/>
          <w:i w:val="0"/>
          <w:iCs w:val="0"/>
          <w:caps w:val="0"/>
          <w:color w:val="333333"/>
          <w:spacing w:val="0"/>
          <w:kern w:val="0"/>
          <w:sz w:val="32"/>
          <w:szCs w:val="32"/>
          <w:shd w:val="clear" w:fill="FFFFFF"/>
          <w:lang w:val="en-US" w:eastAsia="zh-CN" w:bidi="ar"/>
        </w:rPr>
        <w:t>三</w:t>
      </w:r>
      <w:r>
        <w:rPr>
          <w:rFonts w:hint="default" w:ascii="Times New Roman" w:hAnsi="Times New Roman" w:eastAsia="仿宋_GB2312" w:cs="Times New Roman"/>
          <w:b w:val="0"/>
          <w:bCs w:val="0"/>
          <w:i w:val="0"/>
          <w:iCs w:val="0"/>
          <w:caps w:val="0"/>
          <w:color w:val="333333"/>
          <w:spacing w:val="0"/>
          <w:kern w:val="0"/>
          <w:sz w:val="32"/>
          <w:szCs w:val="32"/>
          <w:shd w:val="clear" w:fill="FFFFFF"/>
          <w:lang w:val="en-US" w:eastAsia="zh-CN" w:bidi="ar"/>
        </w:rPr>
        <w:t>）咨询联系</w:t>
      </w:r>
    </w:p>
    <w:p w14:paraId="05BC534C">
      <w:pPr>
        <w:pStyle w:val="18"/>
        <w:keepNext w:val="0"/>
        <w:keepLines w:val="0"/>
        <w:pageBreakBefore w:val="0"/>
        <w:widowControl/>
        <w:kinsoku/>
        <w:wordWrap/>
        <w:overflowPunct/>
        <w:topLinePunct w:val="0"/>
        <w:autoSpaceDE/>
        <w:autoSpaceDN/>
        <w:bidi w:val="0"/>
        <w:adjustRightInd/>
        <w:snapToGrid/>
        <w:spacing w:before="0" w:after="0" w:line="560" w:lineRule="exact"/>
        <w:ind w:left="0" w:leftChars="0" w:firstLine="640" w:firstLineChars="200"/>
        <w:textAlignment w:val="auto"/>
        <w:rPr>
          <w:rFonts w:hint="default" w:ascii="Times New Roman" w:hAnsi="Times New Roman" w:eastAsia="仿宋_GB2312" w:cs="Times New Roman"/>
          <w:b w:val="0"/>
          <w:bCs w:val="0"/>
          <w:i w:val="0"/>
          <w:iCs w:val="0"/>
          <w:caps w:val="0"/>
          <w:color w:val="333333"/>
          <w:spacing w:val="0"/>
          <w:kern w:val="0"/>
          <w:sz w:val="32"/>
          <w:szCs w:val="32"/>
          <w:shd w:val="clear" w:fill="FFFFFF"/>
          <w:lang w:val="en-US" w:eastAsia="zh-CN" w:bidi="ar"/>
        </w:rPr>
      </w:pPr>
      <w:r>
        <w:rPr>
          <w:rFonts w:hint="default" w:ascii="Times New Roman" w:hAnsi="Times New Roman" w:eastAsia="仿宋_GB2312" w:cs="Times New Roman"/>
          <w:b w:val="0"/>
          <w:bCs w:val="0"/>
          <w:i w:val="0"/>
          <w:iCs w:val="0"/>
          <w:caps w:val="0"/>
          <w:color w:val="333333"/>
          <w:spacing w:val="0"/>
          <w:kern w:val="0"/>
          <w:sz w:val="32"/>
          <w:szCs w:val="32"/>
          <w:shd w:val="clear" w:fill="FFFFFF"/>
          <w:lang w:val="en-US" w:eastAsia="zh-CN" w:bidi="ar"/>
        </w:rPr>
        <w:t>鲁老师：13821646587；翟老师：13642081885</w:t>
      </w:r>
    </w:p>
    <w:p w14:paraId="4F4E2F64">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3" w:firstLineChars="200"/>
        <w:jc w:val="both"/>
        <w:textAlignment w:val="auto"/>
        <w:rPr>
          <w:rStyle w:val="13"/>
          <w:rFonts w:hint="eastAsia" w:ascii="Times New Roman" w:hAnsi="Times New Roman" w:eastAsia="黑体" w:cs="Times New Roman"/>
          <w:b/>
          <w:bCs/>
          <w:i w:val="0"/>
          <w:iCs w:val="0"/>
          <w:caps w:val="0"/>
          <w:color w:val="333333"/>
          <w:spacing w:val="0"/>
          <w:sz w:val="32"/>
          <w:szCs w:val="32"/>
          <w:shd w:val="clear" w:fill="FFFFFF"/>
          <w:lang w:eastAsia="zh-CN"/>
        </w:rPr>
      </w:pPr>
      <w:r>
        <w:rPr>
          <w:rStyle w:val="13"/>
          <w:rFonts w:hint="eastAsia" w:ascii="Times New Roman" w:hAnsi="Times New Roman" w:eastAsia="黑体" w:cs="Times New Roman"/>
          <w:b/>
          <w:bCs/>
          <w:i w:val="0"/>
          <w:iCs w:val="0"/>
          <w:caps w:val="0"/>
          <w:color w:val="333333"/>
          <w:spacing w:val="0"/>
          <w:sz w:val="32"/>
          <w:szCs w:val="32"/>
          <w:shd w:val="clear" w:fill="FFFFFF"/>
          <w:lang w:val="en-US" w:eastAsia="zh-CN"/>
        </w:rPr>
        <w:t>五</w:t>
      </w:r>
      <w:r>
        <w:rPr>
          <w:rStyle w:val="13"/>
          <w:rFonts w:hint="default" w:ascii="Times New Roman" w:hAnsi="Times New Roman" w:eastAsia="黑体" w:cs="Times New Roman"/>
          <w:b/>
          <w:bCs/>
          <w:i w:val="0"/>
          <w:iCs w:val="0"/>
          <w:caps w:val="0"/>
          <w:color w:val="333333"/>
          <w:spacing w:val="0"/>
          <w:sz w:val="32"/>
          <w:szCs w:val="32"/>
          <w:shd w:val="clear" w:fill="FFFFFF"/>
          <w:lang w:eastAsia="zh-CN"/>
        </w:rPr>
        <w:t>、报名注意事项</w:t>
      </w:r>
    </w:p>
    <w:p w14:paraId="16E5C1E0">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仿宋_GB2312" w:hAnsi="仿宋_GB2312" w:eastAsia="仿宋_GB2312" w:cs="仿宋_GB2312"/>
          <w:i w:val="0"/>
          <w:iCs w:val="0"/>
          <w:caps w:val="0"/>
          <w:color w:val="333333"/>
          <w:spacing w:val="0"/>
          <w:sz w:val="32"/>
          <w:szCs w:val="32"/>
          <w:shd w:val="clear" w:fill="FFFFFF"/>
          <w:lang w:eastAsia="zh-CN"/>
        </w:rPr>
      </w:pPr>
      <w:r>
        <w:rPr>
          <w:rFonts w:hint="default" w:ascii="仿宋_GB2312" w:hAnsi="仿宋_GB2312" w:eastAsia="仿宋_GB2312" w:cs="仿宋_GB2312"/>
          <w:i w:val="0"/>
          <w:iCs w:val="0"/>
          <w:caps w:val="0"/>
          <w:color w:val="333333"/>
          <w:spacing w:val="0"/>
          <w:sz w:val="32"/>
          <w:szCs w:val="32"/>
          <w:shd w:val="clear" w:fill="FFFFFF"/>
          <w:lang w:val="en-US" w:eastAsia="zh-CN"/>
        </w:rPr>
        <w:t>1.</w:t>
      </w:r>
      <w:r>
        <w:rPr>
          <w:rFonts w:hint="default" w:ascii="仿宋_GB2312" w:hAnsi="仿宋_GB2312" w:eastAsia="仿宋_GB2312" w:cs="仿宋_GB2312"/>
          <w:i w:val="0"/>
          <w:iCs w:val="0"/>
          <w:caps w:val="0"/>
          <w:color w:val="333333"/>
          <w:spacing w:val="0"/>
          <w:sz w:val="32"/>
          <w:szCs w:val="32"/>
          <w:shd w:val="clear" w:fill="FFFFFF"/>
          <w:lang w:eastAsia="zh-CN"/>
        </w:rPr>
        <w:t>学生应综合考虑自身情况，在学有余力、不影响主修专业的基础上进行选修。</w:t>
      </w:r>
    </w:p>
    <w:p w14:paraId="620B4BF9">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仿宋_GB2312" w:hAnsi="仿宋_GB2312" w:eastAsia="仿宋_GB2312" w:cs="仿宋_GB2312"/>
          <w:i w:val="0"/>
          <w:iCs w:val="0"/>
          <w:caps w:val="0"/>
          <w:color w:val="333333"/>
          <w:spacing w:val="0"/>
          <w:sz w:val="32"/>
          <w:szCs w:val="32"/>
          <w:shd w:val="clear" w:fill="FFFFFF"/>
          <w:lang w:eastAsia="zh-CN"/>
        </w:rPr>
      </w:pPr>
      <w:r>
        <w:rPr>
          <w:rFonts w:hint="default" w:ascii="仿宋_GB2312" w:hAnsi="仿宋_GB2312" w:eastAsia="仿宋_GB2312" w:cs="仿宋_GB2312"/>
          <w:i w:val="0"/>
          <w:iCs w:val="0"/>
          <w:caps w:val="0"/>
          <w:color w:val="333333"/>
          <w:spacing w:val="0"/>
          <w:sz w:val="32"/>
          <w:szCs w:val="32"/>
          <w:shd w:val="clear" w:fill="FFFFFF"/>
          <w:lang w:val="en-US" w:eastAsia="zh-CN"/>
        </w:rPr>
        <w:t>2.</w:t>
      </w:r>
      <w:r>
        <w:rPr>
          <w:rFonts w:hint="default" w:ascii="仿宋_GB2312" w:hAnsi="仿宋_GB2312" w:eastAsia="仿宋_GB2312" w:cs="仿宋_GB2312"/>
          <w:i w:val="0"/>
          <w:iCs w:val="0"/>
          <w:caps w:val="0"/>
          <w:color w:val="333333"/>
          <w:spacing w:val="0"/>
          <w:sz w:val="32"/>
          <w:szCs w:val="32"/>
          <w:shd w:val="clear" w:fill="FFFFFF"/>
          <w:lang w:eastAsia="zh-CN"/>
        </w:rPr>
        <w:t>修读微专业的学生须参加该专业所有课程的学习和考核，微专业课程不允许免修或免听，成绩不合格的可参照课程考核管理办法进行补考或重修。微专业的课程考核结果不影响主修专业。</w:t>
      </w:r>
    </w:p>
    <w:p w14:paraId="440E8ECA">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仿宋_GB2312" w:hAnsi="仿宋_GB2312" w:eastAsia="仿宋_GB2312" w:cs="仿宋_GB2312"/>
          <w:i w:val="0"/>
          <w:iCs w:val="0"/>
          <w:caps w:val="0"/>
          <w:color w:val="333333"/>
          <w:spacing w:val="0"/>
          <w:sz w:val="32"/>
          <w:szCs w:val="32"/>
          <w:shd w:val="clear" w:fill="FFFFFF"/>
          <w:lang w:eastAsia="zh-CN"/>
        </w:rPr>
      </w:pPr>
      <w:r>
        <w:rPr>
          <w:rFonts w:hint="default" w:ascii="仿宋_GB2312" w:hAnsi="仿宋_GB2312" w:eastAsia="仿宋_GB2312" w:cs="仿宋_GB2312"/>
          <w:i w:val="0"/>
          <w:iCs w:val="0"/>
          <w:caps w:val="0"/>
          <w:color w:val="333333"/>
          <w:spacing w:val="0"/>
          <w:sz w:val="32"/>
          <w:szCs w:val="32"/>
          <w:shd w:val="clear" w:fill="FFFFFF"/>
          <w:lang w:val="en-US" w:eastAsia="zh-CN"/>
        </w:rPr>
        <w:t>3.</w:t>
      </w:r>
      <w:r>
        <w:rPr>
          <w:rFonts w:hint="default" w:ascii="仿宋_GB2312" w:hAnsi="仿宋_GB2312" w:eastAsia="仿宋_GB2312" w:cs="仿宋_GB2312"/>
          <w:i w:val="0"/>
          <w:iCs w:val="0"/>
          <w:caps w:val="0"/>
          <w:color w:val="333333"/>
          <w:spacing w:val="0"/>
          <w:sz w:val="32"/>
          <w:szCs w:val="32"/>
          <w:shd w:val="clear" w:fill="FFFFFF"/>
          <w:lang w:eastAsia="zh-CN"/>
        </w:rPr>
        <w:t>微专业学习期间</w:t>
      </w:r>
      <w:r>
        <w:rPr>
          <w:rFonts w:hint="eastAsia" w:ascii="仿宋_GB2312" w:hAnsi="仿宋_GB2312" w:eastAsia="仿宋_GB2312" w:cs="仿宋_GB2312"/>
          <w:i w:val="0"/>
          <w:iCs w:val="0"/>
          <w:caps w:val="0"/>
          <w:color w:val="333333"/>
          <w:spacing w:val="0"/>
          <w:sz w:val="32"/>
          <w:szCs w:val="32"/>
          <w:shd w:val="clear" w:fill="FFFFFF"/>
          <w:lang w:eastAsia="zh-CN"/>
        </w:rPr>
        <w:t>，</w:t>
      </w:r>
      <w:r>
        <w:rPr>
          <w:rFonts w:hint="default" w:ascii="仿宋_GB2312" w:hAnsi="仿宋_GB2312" w:eastAsia="仿宋_GB2312" w:cs="仿宋_GB2312"/>
          <w:i w:val="0"/>
          <w:iCs w:val="0"/>
          <w:caps w:val="0"/>
          <w:color w:val="333333"/>
          <w:spacing w:val="0"/>
          <w:sz w:val="32"/>
          <w:szCs w:val="32"/>
          <w:shd w:val="clear" w:fill="FFFFFF"/>
          <w:lang w:eastAsia="zh-CN"/>
        </w:rPr>
        <w:t>学生因本人原因终止微专业学习，并超出弹性修业年限，已修读且成绩合格的微专业课程学分作废。</w:t>
      </w:r>
    </w:p>
    <w:p w14:paraId="562FDAAD">
      <w:pPr>
        <w:pStyle w:val="4"/>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textAlignment w:val="auto"/>
        <w:rPr>
          <w:rFonts w:hint="eastAsia" w:ascii="黑体" w:hAnsi="黑体" w:eastAsia="黑体" w:cs="黑体"/>
          <w:b w:val="0"/>
          <w:bCs w:val="0"/>
          <w:color w:val="000000"/>
          <w:kern w:val="0"/>
          <w:sz w:val="32"/>
          <w:szCs w:val="32"/>
          <w:lang w:val="en-US" w:eastAsia="zh-CN" w:bidi="ar"/>
        </w:rPr>
      </w:pPr>
      <w:r>
        <w:rPr>
          <w:rFonts w:hint="eastAsia" w:ascii="黑体" w:hAnsi="黑体" w:eastAsia="黑体" w:cs="黑体"/>
          <w:b w:val="0"/>
          <w:bCs w:val="0"/>
          <w:color w:val="000000"/>
          <w:kern w:val="0"/>
          <w:sz w:val="32"/>
          <w:szCs w:val="32"/>
          <w:lang w:val="en-US" w:eastAsia="zh-CN" w:bidi="ar"/>
        </w:rPr>
        <w:t>六、课程简介</w:t>
      </w:r>
    </w:p>
    <w:p w14:paraId="2494DF91">
      <w:pPr>
        <w:pStyle w:val="18"/>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textAlignment w:val="auto"/>
        <w:rPr>
          <w:rFonts w:hint="eastAsia" w:ascii="仿宋_GB2312" w:hAnsi="宋体" w:eastAsia="仿宋_GB2312" w:cs="仿宋_GB2312"/>
          <w:b w:val="0"/>
          <w:bCs w:val="0"/>
          <w:color w:val="000000"/>
          <w:kern w:val="0"/>
          <w:sz w:val="32"/>
          <w:szCs w:val="32"/>
          <w:lang w:val="en-US" w:eastAsia="zh-CN" w:bidi="ar"/>
        </w:rPr>
      </w:pPr>
      <w:r>
        <w:rPr>
          <w:rFonts w:hint="eastAsia" w:ascii="仿宋_GB2312" w:hAnsi="宋体" w:eastAsia="仿宋_GB2312" w:cs="仿宋_GB2312"/>
          <w:b w:val="0"/>
          <w:bCs w:val="0"/>
          <w:color w:val="000000"/>
          <w:kern w:val="0"/>
          <w:sz w:val="32"/>
          <w:szCs w:val="32"/>
          <w:lang w:val="en-US" w:eastAsia="zh-CN" w:bidi="ar"/>
        </w:rPr>
        <w:t>1.《无人机飞行原理与技术》：作为应用基础课核心课程，聚焦无人机飞行的核心原理与实操基础。通过理论授课让学生掌握航空器空气动力学、无人机动力系统、控制系统工作原理，结合虚拟训练平台开展模拟飞行操作，帮助学生熟悉无人机操作流程，掌握起飞、巡航、降落等基础操作及飞行安全规范，为后续专业技能学习筑牢根基。</w:t>
      </w:r>
    </w:p>
    <w:p w14:paraId="6AED1A7E">
      <w:pPr>
        <w:pStyle w:val="18"/>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textAlignment w:val="auto"/>
        <w:rPr>
          <w:rFonts w:hint="eastAsia" w:ascii="仿宋_GB2312" w:hAnsi="宋体" w:eastAsia="仿宋_GB2312" w:cs="仿宋_GB2312"/>
          <w:b w:val="0"/>
          <w:bCs w:val="0"/>
          <w:color w:val="000000"/>
          <w:kern w:val="0"/>
          <w:sz w:val="32"/>
          <w:szCs w:val="32"/>
          <w:lang w:val="en-US" w:eastAsia="zh-CN" w:bidi="ar"/>
        </w:rPr>
      </w:pPr>
      <w:r>
        <w:rPr>
          <w:rFonts w:hint="eastAsia" w:ascii="仿宋_GB2312" w:hAnsi="宋体" w:eastAsia="仿宋_GB2312" w:cs="仿宋_GB2312"/>
          <w:b w:val="0"/>
          <w:bCs w:val="0"/>
          <w:color w:val="000000"/>
          <w:kern w:val="0"/>
          <w:sz w:val="32"/>
          <w:szCs w:val="32"/>
          <w:lang w:val="en-US" w:eastAsia="zh-CN" w:bidi="ar"/>
        </w:rPr>
        <w:t>2.《低空经济政策与法规》：紧密对接低空物流行业合规需求，系统梳理低空经济领域国家战略规划（如 2024 年政府工作报告中 “低空经济” 相关内容）、行业政策文件及法律法规。通过案例分析解读无人机配送商业化应用的政策支持与限制、低空空域管理规则，培养学生的政策解读能力与合规运营意识，确保未来工作符合行业规范。</w:t>
      </w:r>
    </w:p>
    <w:p w14:paraId="38326159">
      <w:pPr>
        <w:pStyle w:val="18"/>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textAlignment w:val="auto"/>
        <w:rPr>
          <w:rFonts w:hint="eastAsia" w:ascii="仿宋_GB2312" w:hAnsi="宋体" w:eastAsia="仿宋_GB2312" w:cs="仿宋_GB2312"/>
          <w:b w:val="0"/>
          <w:bCs w:val="0"/>
          <w:color w:val="000000"/>
          <w:kern w:val="0"/>
          <w:sz w:val="32"/>
          <w:szCs w:val="32"/>
          <w:lang w:val="en-US" w:eastAsia="zh-CN" w:bidi="ar"/>
        </w:rPr>
      </w:pPr>
      <w:r>
        <w:rPr>
          <w:rFonts w:hint="eastAsia" w:ascii="仿宋_GB2312" w:hAnsi="宋体" w:eastAsia="仿宋_GB2312" w:cs="仿宋_GB2312"/>
          <w:b w:val="0"/>
          <w:bCs w:val="0"/>
          <w:color w:val="000000"/>
          <w:kern w:val="0"/>
          <w:sz w:val="32"/>
          <w:szCs w:val="32"/>
          <w:lang w:val="en-US" w:eastAsia="zh-CN" w:bidi="ar"/>
        </w:rPr>
        <w:t>3.《无人机物流调度规划》：核心专业技能课程，围绕无人机物流配送的核心环节 —— 调度规划展开教学。内容涵盖基于地理信息系统（GIS）的航线设计、考虑天气、空域限制等因素的调度优化、多无人机协同配送调度策略等，结合物流配送仿真系统，让学生通过设计调度方案、模拟运行验证，提升无人机物流调度的科学性与高效性。</w:t>
      </w:r>
    </w:p>
    <w:p w14:paraId="388C78B3">
      <w:pPr>
        <w:pStyle w:val="18"/>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textAlignment w:val="auto"/>
        <w:rPr>
          <w:rFonts w:hint="eastAsia" w:ascii="仿宋_GB2312" w:hAnsi="宋体" w:eastAsia="仿宋_GB2312" w:cs="仿宋_GB2312"/>
          <w:b w:val="0"/>
          <w:bCs w:val="0"/>
          <w:color w:val="000000"/>
          <w:kern w:val="0"/>
          <w:sz w:val="32"/>
          <w:szCs w:val="32"/>
          <w:lang w:val="en-US" w:eastAsia="zh-CN" w:bidi="ar"/>
        </w:rPr>
      </w:pPr>
      <w:r>
        <w:rPr>
          <w:rFonts w:hint="eastAsia" w:ascii="仿宋_GB2312" w:hAnsi="宋体" w:eastAsia="仿宋_GB2312" w:cs="仿宋_GB2312"/>
          <w:b w:val="0"/>
          <w:bCs w:val="0"/>
          <w:color w:val="000000"/>
          <w:kern w:val="0"/>
          <w:sz w:val="32"/>
          <w:szCs w:val="32"/>
          <w:lang w:val="en-US" w:eastAsia="zh-CN" w:bidi="ar"/>
        </w:rPr>
        <w:t>4.《低空物流项目管理》：针对低空物流项目全生命周期管理能力培养，讲解项目立项可行性分析、项目计划制定（含时间、成本、资源规划）、项目执行过程中的风险识别与管控（如飞行安全风险、物流延误风险）、项目验收与评估等内容。通过模拟真实低空物流项目（如区域无人机配送项目），让学生分组完成项目方案设计与执行，提升项目管理综合能力。</w:t>
      </w:r>
    </w:p>
    <w:p w14:paraId="4D92F506">
      <w:pPr>
        <w:pStyle w:val="18"/>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textAlignment w:val="auto"/>
        <w:rPr>
          <w:rFonts w:hint="eastAsia" w:ascii="仿宋_GB2312" w:hAnsi="宋体" w:eastAsia="仿宋_GB2312" w:cs="仿宋_GB2312"/>
          <w:b w:val="0"/>
          <w:bCs w:val="0"/>
          <w:color w:val="000000"/>
          <w:kern w:val="0"/>
          <w:sz w:val="32"/>
          <w:szCs w:val="32"/>
          <w:lang w:val="en-US" w:eastAsia="zh-CN" w:bidi="ar"/>
        </w:rPr>
      </w:pPr>
      <w:r>
        <w:rPr>
          <w:rFonts w:hint="eastAsia" w:ascii="仿宋_GB2312" w:hAnsi="宋体" w:eastAsia="仿宋_GB2312" w:cs="仿宋_GB2312"/>
          <w:b w:val="0"/>
          <w:bCs w:val="0"/>
          <w:color w:val="000000"/>
          <w:kern w:val="0"/>
          <w:sz w:val="32"/>
          <w:szCs w:val="32"/>
          <w:lang w:val="en-US" w:eastAsia="zh-CN" w:bidi="ar"/>
        </w:rPr>
        <w:t>5.《无人机装调检修实训》：实战训练核心课程，依托校内模拟飞行平台与空港无人机校外实训基地开展全流程实操。学生将学习无人机各组件（机身、动力、控制系统）的装配与调试方法，掌握常见故障（如动力故障、通信故障）的诊断流程与维修技巧，通过大量实操训练，具备独立完成无人机装调与日常检修的能力，对接企业设备运维岗位需求。</w:t>
      </w:r>
    </w:p>
    <w:p w14:paraId="4282B5A3">
      <w:pPr>
        <w:pStyle w:val="18"/>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textAlignment w:val="auto"/>
        <w:rPr>
          <w:rFonts w:hint="default" w:ascii="Times New Roman" w:hAnsi="Times New Roman" w:eastAsia="仿宋_GB2312" w:cs="Times New Roman"/>
          <w:b w:val="0"/>
          <w:bCs w:val="0"/>
          <w:i w:val="0"/>
          <w:iCs w:val="0"/>
          <w:caps w:val="0"/>
          <w:color w:val="333333"/>
          <w:spacing w:val="0"/>
          <w:kern w:val="0"/>
          <w:sz w:val="32"/>
          <w:szCs w:val="32"/>
          <w:shd w:val="clear" w:fill="FFFFFF"/>
          <w:lang w:val="en-US" w:eastAsia="zh-CN" w:bidi="ar"/>
        </w:rPr>
      </w:pPr>
      <w:r>
        <w:rPr>
          <w:rFonts w:hint="eastAsia" w:ascii="仿宋_GB2312" w:hAnsi="宋体" w:eastAsia="仿宋_GB2312" w:cs="仿宋_GB2312"/>
          <w:b w:val="0"/>
          <w:bCs w:val="0"/>
          <w:color w:val="000000"/>
          <w:kern w:val="0"/>
          <w:sz w:val="32"/>
          <w:szCs w:val="32"/>
          <w:lang w:val="en-US" w:eastAsia="zh-CN" w:bidi="ar"/>
        </w:rPr>
        <w:t>6.《低空配送实训》：校企协同实战课程，联合宁河低空经济产业园及顺丰、圆通、极兔等企业，让学生深入真实低空物流运营场景。学生需参与配送任务规划、无人机现场操控、货物装卸与核验、应急情况（如突发天气、设备故障）处理等全流程工作，积累实战经验，提升岗位适配能力，实现从校园到企业岗位的无缝衔接。</w:t>
      </w:r>
    </w:p>
    <w:sectPr>
      <w:pgSz w:w="11906" w:h="16838"/>
      <w:pgMar w:top="1440" w:right="1440" w:bottom="1440" w:left="1440" w:header="708" w:footer="708" w:gutter="0"/>
      <w:pgBorders>
        <w:top w:val="none" w:sz="0" w:space="0"/>
        <w:left w:val="none" w:sz="0" w:space="0"/>
        <w:bottom w:val="none" w:sz="0" w:space="0"/>
        <w:right w:val="none" w:sz="0" w:space="0"/>
      </w:pgBorders>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ompat>
    <w:useFELayout/>
    <w:compatSetting w:name="compatibilityMode" w:uri="http://schemas.microsoft.com/office/word" w:val="15"/>
  </w:compat>
  <w:rsids>
    <w:rsidRoot w:val="00000000"/>
    <w:rsid w:val="15691319"/>
    <w:rsid w:val="21F90FA0"/>
    <w:rsid w:val="23370D91"/>
    <w:rsid w:val="43DB4222"/>
    <w:rsid w:val="4FCB5B23"/>
    <w:rsid w:val="5B31788C"/>
    <w:rsid w:val="5DA10E1B"/>
    <w:rsid w:val="705438F1"/>
    <w:rsid w:val="74443DB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paragraph" w:styleId="3">
    <w:name w:val="heading 1"/>
    <w:next w:val="1"/>
    <w:qFormat/>
    <w:uiPriority w:val="0"/>
    <w:pPr>
      <w:spacing w:before="380" w:after="140" w:line="288" w:lineRule="auto"/>
      <w:ind w:left="0"/>
      <w:jc w:val="left"/>
      <w:outlineLvl w:val="0"/>
    </w:pPr>
    <w:rPr>
      <w:rFonts w:ascii="Arial" w:hAnsi="Arial" w:eastAsia="等线" w:cs="Arial"/>
      <w:b/>
      <w:bCs/>
      <w:sz w:val="36"/>
      <w:szCs w:val="36"/>
    </w:rPr>
  </w:style>
  <w:style w:type="paragraph" w:styleId="4">
    <w:name w:val="heading 2"/>
    <w:basedOn w:val="1"/>
    <w:next w:val="1"/>
    <w:qFormat/>
    <w:uiPriority w:val="0"/>
    <w:pPr>
      <w:spacing w:before="320" w:after="120" w:line="288" w:lineRule="auto"/>
      <w:ind w:left="0"/>
      <w:jc w:val="left"/>
      <w:outlineLvl w:val="1"/>
    </w:pPr>
    <w:rPr>
      <w:rFonts w:ascii="Arial" w:hAnsi="Arial" w:eastAsia="等线" w:cs="Arial"/>
      <w:b/>
      <w:bCs/>
      <w:sz w:val="32"/>
      <w:szCs w:val="32"/>
    </w:rPr>
  </w:style>
  <w:style w:type="paragraph" w:styleId="5">
    <w:name w:val="heading 3"/>
    <w:next w:val="1"/>
    <w:qFormat/>
    <w:uiPriority w:val="0"/>
    <w:pPr>
      <w:spacing w:before="300" w:after="120" w:line="288" w:lineRule="auto"/>
      <w:ind w:left="0"/>
      <w:jc w:val="left"/>
      <w:outlineLvl w:val="2"/>
    </w:pPr>
    <w:rPr>
      <w:rFonts w:ascii="Arial" w:hAnsi="Arial" w:eastAsia="等线" w:cs="Arial"/>
      <w:b/>
      <w:bCs/>
      <w:sz w:val="30"/>
      <w:szCs w:val="30"/>
    </w:rPr>
  </w:style>
  <w:style w:type="paragraph" w:styleId="6">
    <w:name w:val="heading 4"/>
    <w:next w:val="1"/>
    <w:qFormat/>
    <w:uiPriority w:val="0"/>
    <w:pPr>
      <w:spacing w:before="260" w:after="120" w:line="288" w:lineRule="auto"/>
      <w:ind w:left="0"/>
      <w:jc w:val="left"/>
      <w:outlineLvl w:val="3"/>
    </w:pPr>
    <w:rPr>
      <w:rFonts w:ascii="Arial" w:hAnsi="Arial" w:eastAsia="等线" w:cs="Arial"/>
      <w:b/>
      <w:bCs/>
      <w:sz w:val="28"/>
      <w:szCs w:val="28"/>
    </w:rPr>
  </w:style>
  <w:style w:type="paragraph" w:styleId="2">
    <w:name w:val="heading 5"/>
    <w:basedOn w:val="1"/>
    <w:next w:val="1"/>
    <w:qFormat/>
    <w:uiPriority w:val="0"/>
    <w:pPr>
      <w:spacing w:before="240" w:after="120" w:line="288" w:lineRule="auto"/>
      <w:ind w:left="0"/>
      <w:jc w:val="left"/>
      <w:outlineLvl w:val="4"/>
    </w:pPr>
    <w:rPr>
      <w:rFonts w:ascii="Arial" w:hAnsi="Arial" w:eastAsia="等线" w:cs="Arial"/>
      <w:b/>
      <w:bCs/>
      <w:sz w:val="24"/>
      <w:szCs w:val="24"/>
    </w:rPr>
  </w:style>
  <w:style w:type="paragraph" w:styleId="7">
    <w:name w:val="heading 6"/>
    <w:next w:val="1"/>
    <w:qFormat/>
    <w:uiPriority w:val="0"/>
    <w:pPr>
      <w:spacing w:before="240" w:after="120" w:line="288" w:lineRule="auto"/>
      <w:ind w:left="0"/>
      <w:jc w:val="left"/>
      <w:outlineLvl w:val="5"/>
    </w:pPr>
    <w:rPr>
      <w:rFonts w:ascii="Arial" w:hAnsi="Arial" w:eastAsia="等线" w:cs="Arial"/>
      <w:b/>
      <w:bCs/>
      <w:sz w:val="24"/>
      <w:szCs w:val="24"/>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8">
    <w:name w:val="footnote text"/>
    <w:link w:val="17"/>
    <w:semiHidden/>
    <w:unhideWhenUsed/>
    <w:qFormat/>
    <w:uiPriority w:val="99"/>
    <w:pPr>
      <w:spacing w:after="0" w:line="240" w:lineRule="auto"/>
    </w:pPr>
    <w:rPr>
      <w:rFonts w:asciiTheme="minorHAnsi" w:hAnsiTheme="minorHAnsi" w:eastAsiaTheme="minorEastAsia" w:cstheme="minorBidi"/>
      <w:sz w:val="20"/>
      <w:szCs w:val="20"/>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Title"/>
    <w:qFormat/>
    <w:uiPriority w:val="0"/>
    <w:pPr>
      <w:spacing w:before="480" w:after="480" w:line="288" w:lineRule="auto"/>
      <w:ind w:left="0"/>
    </w:pPr>
    <w:rPr>
      <w:rFonts w:ascii="Arial" w:hAnsi="Arial" w:eastAsia="等线" w:cs="Arial"/>
      <w:b/>
      <w:bCs/>
      <w:sz w:val="52"/>
      <w:szCs w:val="52"/>
    </w:rPr>
  </w:style>
  <w:style w:type="character" w:styleId="13">
    <w:name w:val="Strong"/>
    <w:basedOn w:val="12"/>
    <w:qFormat/>
    <w:uiPriority w:val="0"/>
    <w:rPr>
      <w:b/>
    </w:rPr>
  </w:style>
  <w:style w:type="character" w:styleId="14">
    <w:name w:val="Hyperlink"/>
    <w:unhideWhenUsed/>
    <w:qFormat/>
    <w:uiPriority w:val="99"/>
    <w:rPr>
      <w:color w:val="0563C1"/>
      <w:u w:val="single"/>
    </w:rPr>
  </w:style>
  <w:style w:type="character" w:styleId="15">
    <w:name w:val="footnote reference"/>
    <w:semiHidden/>
    <w:unhideWhenUsed/>
    <w:qFormat/>
    <w:uiPriority w:val="99"/>
    <w:rPr>
      <w:vertAlign w:val="superscript"/>
    </w:rPr>
  </w:style>
  <w:style w:type="paragraph" w:styleId="16">
    <w:name w:val="List Paragraph"/>
    <w:qFormat/>
    <w:uiPriority w:val="0"/>
    <w:rPr>
      <w:rFonts w:asciiTheme="minorHAnsi" w:hAnsiTheme="minorHAnsi" w:eastAsiaTheme="minorEastAsia" w:cstheme="minorBidi"/>
      <w:sz w:val="21"/>
      <w:szCs w:val="22"/>
    </w:rPr>
  </w:style>
  <w:style w:type="character" w:customStyle="1" w:styleId="17">
    <w:name w:val="Footnote Text Char"/>
    <w:link w:val="8"/>
    <w:semiHidden/>
    <w:unhideWhenUsed/>
    <w:qFormat/>
    <w:uiPriority w:val="99"/>
    <w:rPr>
      <w:sz w:val="20"/>
      <w:szCs w:val="20"/>
    </w:rPr>
  </w:style>
  <w:style w:type="paragraph" w:customStyle="1" w:styleId="18">
    <w:name w:val="_Style 13"/>
    <w:qFormat/>
    <w:uiPriority w:val="0"/>
    <w:pPr>
      <w:spacing w:before="120" w:after="120" w:line="288" w:lineRule="auto"/>
      <w:ind w:left="0"/>
      <w:jc w:val="left"/>
    </w:pPr>
    <w:rPr>
      <w:rFonts w:ascii="Arial" w:hAnsi="Arial" w:eastAsia="等线" w:cs="Arial"/>
      <w:sz w:val="22"/>
      <w:szCs w:val="22"/>
    </w:rPr>
  </w:style>
  <w:style w:type="paragraph" w:customStyle="1" w:styleId="19">
    <w:name w:val="_Style 14"/>
    <w:qFormat/>
    <w:uiPriority w:val="0"/>
    <w:pPr>
      <w:spacing w:before="120" w:after="120" w:line="288" w:lineRule="auto"/>
      <w:ind w:left="0"/>
      <w:jc w:val="left"/>
    </w:pPr>
    <w:rPr>
      <w:rFonts w:ascii="Arial" w:hAnsi="Arial" w:eastAsia="等线" w:cs="Arial"/>
      <w:color w:val="8F959E"/>
      <w:sz w:val="22"/>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6</Pages>
  <Words>2599</Words>
  <Characters>2726</Characters>
  <TotalTime>0</TotalTime>
  <ScaleCrop>false</ScaleCrop>
  <LinksUpToDate>false</LinksUpToDate>
  <CharactersWithSpaces>2799</CharactersWithSpaces>
  <Application>WPS Office_12.1.0.19770_F1E327BC-269C-435d-A152-05C5408002CA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2025-10-20T23:10:00Z</dcterms:created>
  <dc:creator>Un-named</dc:creator>
  <cp:lastModifiedBy>陆清华</cp:lastModifiedBy>
  <dcterms:modified xsi:type="dcterms:W3CDTF">2025-10-21T06:10:17Z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eyJoZGlkIjoiMzhiNGNkYWQ2YmJhZjUyOWNkNjJhMWY1ZjJkMmIzZjEiLCJ1c2VySWQiOiIxNjg4NTczOTI2In0=</vt:lpwstr>
  </property>
  <property fmtid="{D5CDD505-2E9C-101B-9397-08002B2CF9AE}" pid="3" name="KSOProductBuildVer">
    <vt:lpwstr>2052-12.1.0.19770</vt:lpwstr>
  </property>
  <property fmtid="{D5CDD505-2E9C-101B-9397-08002B2CF9AE}" pid="4" name="ICV">
    <vt:lpwstr>85DE8AF386EC4E37A82C2E9E5838B150_13</vt:lpwstr>
  </property>
</Properties>
</file>